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cs="仿宋_GB2312" w:asciiTheme="minorEastAsia" w:hAnsiTheme="minorEastAsia"/>
          <w:sz w:val="44"/>
          <w:szCs w:val="44"/>
        </w:rPr>
      </w:pPr>
      <w:r>
        <w:rPr>
          <w:rFonts w:hint="eastAsia" w:cs="仿宋_GB2312" w:asciiTheme="minorEastAsia" w:hAnsiTheme="minorEastAsia"/>
          <w:b/>
          <w:bCs/>
          <w:sz w:val="44"/>
          <w:szCs w:val="44"/>
        </w:rPr>
        <w:t>“学风建设立项”活动评比细则</w:t>
      </w:r>
    </w:p>
    <w:p>
      <w:pPr>
        <w:spacing w:line="480" w:lineRule="exact"/>
        <w:ind w:firstLine="48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活动评比共有策划书、班级成绩、班级出勤率、任课教师课堂评价、活动开展评分、学风立项中期汇报会、学科竞赛，科创及文章发表、科创参与人数、结果验收共九个方面组成。具体如下：</w:t>
      </w:r>
    </w:p>
    <w:tbl>
      <w:tblPr>
        <w:tblStyle w:val="5"/>
        <w:tblpPr w:leftFromText="180" w:rightFromText="180" w:vertAnchor="page" w:horzAnchor="page" w:tblpX="1132" w:tblpY="3517"/>
        <w:tblOverlap w:val="never"/>
        <w:tblW w:w="10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061"/>
        <w:gridCol w:w="1062"/>
        <w:gridCol w:w="1062"/>
        <w:gridCol w:w="1061"/>
        <w:gridCol w:w="1063"/>
        <w:gridCol w:w="1061"/>
        <w:gridCol w:w="1062"/>
        <w:gridCol w:w="1063"/>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1062" w:type="dxa"/>
          </w:tcPr>
          <w:p>
            <w:r>
              <w:rPr>
                <w:rFonts w:hint="eastAsia"/>
              </w:rPr>
              <w:t>活动项目</w:t>
            </w:r>
          </w:p>
        </w:tc>
        <w:tc>
          <w:tcPr>
            <w:tcW w:w="1061" w:type="dxa"/>
          </w:tcPr>
          <w:p>
            <w:r>
              <w:rPr>
                <w:rFonts w:hint="eastAsia" w:ascii="仿宋_GB2312" w:hAnsi="仿宋_GB2312" w:eastAsia="仿宋_GB2312" w:cs="仿宋_GB2312"/>
                <w:sz w:val="24"/>
                <w:szCs w:val="24"/>
              </w:rPr>
              <w:t>策划书</w:t>
            </w:r>
          </w:p>
        </w:tc>
        <w:tc>
          <w:tcPr>
            <w:tcW w:w="1062" w:type="dxa"/>
          </w:tcPr>
          <w:p>
            <w:r>
              <w:rPr>
                <w:rFonts w:hint="eastAsia" w:ascii="仿宋_GB2312" w:hAnsi="仿宋_GB2312" w:eastAsia="仿宋_GB2312" w:cs="仿宋_GB2312"/>
                <w:sz w:val="24"/>
                <w:szCs w:val="24"/>
              </w:rPr>
              <w:t>班级成绩</w:t>
            </w:r>
          </w:p>
        </w:tc>
        <w:tc>
          <w:tcPr>
            <w:tcW w:w="1062" w:type="dxa"/>
          </w:tcPr>
          <w:p>
            <w:r>
              <w:rPr>
                <w:rFonts w:hint="eastAsia" w:ascii="仿宋_GB2312" w:hAnsi="仿宋_GB2312" w:eastAsia="仿宋_GB2312" w:cs="仿宋_GB2312"/>
                <w:sz w:val="24"/>
                <w:szCs w:val="24"/>
              </w:rPr>
              <w:t>班级出勤率</w:t>
            </w:r>
          </w:p>
        </w:tc>
        <w:tc>
          <w:tcPr>
            <w:tcW w:w="1061" w:type="dxa"/>
          </w:tcPr>
          <w:p>
            <w:r>
              <w:rPr>
                <w:rFonts w:hint="eastAsia" w:ascii="仿宋_GB2312" w:hAnsi="仿宋_GB2312" w:eastAsia="仿宋_GB2312" w:cs="仿宋_GB2312"/>
                <w:sz w:val="24"/>
                <w:szCs w:val="24"/>
              </w:rPr>
              <w:t>任课教师课堂评价</w:t>
            </w:r>
          </w:p>
        </w:tc>
        <w:tc>
          <w:tcPr>
            <w:tcW w:w="1063" w:type="dxa"/>
          </w:tcPr>
          <w:p>
            <w:r>
              <w:rPr>
                <w:rFonts w:hint="eastAsia" w:ascii="仿宋_GB2312" w:hAnsi="仿宋_GB2312" w:eastAsia="仿宋_GB2312" w:cs="仿宋_GB2312"/>
                <w:sz w:val="24"/>
                <w:szCs w:val="24"/>
              </w:rPr>
              <w:t>活动开展评分</w:t>
            </w:r>
          </w:p>
        </w:tc>
        <w:tc>
          <w:tcPr>
            <w:tcW w:w="1061" w:type="dxa"/>
          </w:tcPr>
          <w:p>
            <w:r>
              <w:rPr>
                <w:rFonts w:hint="eastAsia" w:ascii="仿宋_GB2312" w:hAnsi="仿宋_GB2312" w:eastAsia="仿宋_GB2312" w:cs="仿宋_GB2312"/>
                <w:sz w:val="24"/>
                <w:szCs w:val="24"/>
              </w:rPr>
              <w:t>学风立项中期汇报会</w:t>
            </w:r>
          </w:p>
        </w:tc>
        <w:tc>
          <w:tcPr>
            <w:tcW w:w="1062" w:type="dxa"/>
          </w:tcPr>
          <w:p>
            <w:r>
              <w:rPr>
                <w:rFonts w:hint="eastAsia" w:ascii="仿宋_GB2312" w:hAnsi="仿宋_GB2312" w:eastAsia="仿宋_GB2312" w:cs="仿宋_GB2312"/>
                <w:sz w:val="24"/>
                <w:szCs w:val="24"/>
              </w:rPr>
              <w:t>学科竞赛科创及文章发表</w:t>
            </w:r>
          </w:p>
        </w:tc>
        <w:tc>
          <w:tcPr>
            <w:tcW w:w="1063" w:type="dxa"/>
          </w:tcPr>
          <w:p>
            <w:r>
              <w:rPr>
                <w:rFonts w:hint="eastAsia" w:ascii="仿宋_GB2312" w:hAnsi="仿宋_GB2312" w:eastAsia="仿宋_GB2312" w:cs="仿宋_GB2312"/>
                <w:sz w:val="24"/>
                <w:szCs w:val="24"/>
              </w:rPr>
              <w:t>科创参与人数</w:t>
            </w:r>
          </w:p>
        </w:tc>
        <w:tc>
          <w:tcPr>
            <w:tcW w:w="1063" w:type="dxa"/>
          </w:tcPr>
          <w:p>
            <w:r>
              <w:rPr>
                <w:rFonts w:hint="eastAsia" w:ascii="仿宋_GB2312" w:hAnsi="仿宋_GB2312" w:eastAsia="仿宋_GB2312" w:cs="仿宋_GB2312"/>
                <w:sz w:val="24"/>
                <w:szCs w:val="24"/>
              </w:rPr>
              <w:t>结果验收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062" w:type="dxa"/>
          </w:tcPr>
          <w:p>
            <w:r>
              <w:rPr>
                <w:rFonts w:hint="eastAsia"/>
              </w:rPr>
              <w:t>分数</w:t>
            </w:r>
          </w:p>
        </w:tc>
        <w:tc>
          <w:tcPr>
            <w:tcW w:w="1061" w:type="dxa"/>
          </w:tcPr>
          <w:p>
            <w:r>
              <w:rPr>
                <w:rFonts w:hint="eastAsia"/>
              </w:rPr>
              <w:t>10分</w:t>
            </w:r>
          </w:p>
        </w:tc>
        <w:tc>
          <w:tcPr>
            <w:tcW w:w="1062" w:type="dxa"/>
          </w:tcPr>
          <w:p>
            <w:r>
              <w:rPr>
                <w:rFonts w:hint="eastAsia"/>
              </w:rPr>
              <w:t>20分</w:t>
            </w:r>
          </w:p>
        </w:tc>
        <w:tc>
          <w:tcPr>
            <w:tcW w:w="1062" w:type="dxa"/>
          </w:tcPr>
          <w:p>
            <w:r>
              <w:rPr>
                <w:rFonts w:hint="eastAsia"/>
              </w:rPr>
              <w:t>10分</w:t>
            </w:r>
          </w:p>
        </w:tc>
        <w:tc>
          <w:tcPr>
            <w:tcW w:w="1061" w:type="dxa"/>
          </w:tcPr>
          <w:p>
            <w:r>
              <w:rPr>
                <w:rFonts w:hint="eastAsia"/>
              </w:rPr>
              <w:t>10分</w:t>
            </w:r>
          </w:p>
        </w:tc>
        <w:tc>
          <w:tcPr>
            <w:tcW w:w="1063" w:type="dxa"/>
          </w:tcPr>
          <w:p>
            <w:r>
              <w:rPr>
                <w:rFonts w:hint="eastAsia"/>
              </w:rPr>
              <w:t>10分</w:t>
            </w:r>
          </w:p>
        </w:tc>
        <w:tc>
          <w:tcPr>
            <w:tcW w:w="1061" w:type="dxa"/>
          </w:tcPr>
          <w:p>
            <w:r>
              <w:rPr>
                <w:rFonts w:hint="eastAsia"/>
              </w:rPr>
              <w:t>10分</w:t>
            </w:r>
          </w:p>
        </w:tc>
        <w:tc>
          <w:tcPr>
            <w:tcW w:w="1062" w:type="dxa"/>
          </w:tcPr>
          <w:p>
            <w:r>
              <w:rPr>
                <w:rFonts w:hint="eastAsia"/>
              </w:rPr>
              <w:t>5分</w:t>
            </w:r>
          </w:p>
        </w:tc>
        <w:tc>
          <w:tcPr>
            <w:tcW w:w="1063" w:type="dxa"/>
          </w:tcPr>
          <w:p>
            <w:r>
              <w:rPr>
                <w:rFonts w:hint="eastAsia"/>
              </w:rPr>
              <w:t>5分</w:t>
            </w:r>
          </w:p>
        </w:tc>
        <w:tc>
          <w:tcPr>
            <w:tcW w:w="1063" w:type="dxa"/>
          </w:tcPr>
          <w:p>
            <w:r>
              <w:rPr>
                <w:rFonts w:hint="eastAsia"/>
              </w:rPr>
              <w:t>20分</w:t>
            </w:r>
          </w:p>
        </w:tc>
      </w:tr>
    </w:tbl>
    <w:p>
      <w:pPr>
        <w:spacing w:line="480" w:lineRule="exact"/>
        <w:jc w:val="left"/>
        <w:rPr>
          <w:rFonts w:ascii="仿宋_GB2312" w:hAnsi="仿宋_GB2312" w:eastAsia="仿宋_GB2312" w:cs="仿宋_GB2312"/>
          <w:sz w:val="24"/>
          <w:szCs w:val="24"/>
        </w:rPr>
      </w:pPr>
    </w:p>
    <w:p>
      <w:pPr>
        <w:autoSpaceDN w:val="0"/>
        <w:spacing w:line="480" w:lineRule="exact"/>
        <w:ind w:right="150"/>
        <w:rPr>
          <w:rFonts w:ascii="仿宋_GB2312" w:hAnsi="宋体" w:eastAsia="仿宋_GB2312"/>
          <w:b/>
          <w:bCs/>
          <w:sz w:val="28"/>
          <w:szCs w:val="28"/>
        </w:rPr>
      </w:pPr>
      <w:r>
        <w:rPr>
          <w:rFonts w:hint="eastAsia" w:ascii="仿宋_GB2312" w:hAnsi="宋体" w:eastAsia="仿宋_GB2312"/>
          <w:b/>
          <w:bCs/>
          <w:sz w:val="28"/>
          <w:szCs w:val="28"/>
        </w:rPr>
        <w:t>1、策划书【包含答辩】（10分）（详情参考附件一、二、三）</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由老师，团委学生会常委会委员和学习部对各班学风立项活动策划书进行打分，老师、常委和学习部部长组成评委团，对学委策划书的答辩评分。最后根据策划书和答辩的综合成绩对策划书进行打分。每份策划书取平均分。总分100分，按照策划书分数*0.1进行折合，计入总评中。</w:t>
      </w:r>
    </w:p>
    <w:p>
      <w:pPr>
        <w:autoSpaceDN w:val="0"/>
        <w:spacing w:line="480" w:lineRule="exact"/>
        <w:ind w:right="150"/>
        <w:rPr>
          <w:rFonts w:ascii="仿宋_GB2312" w:hAnsi="宋体" w:eastAsia="仿宋_GB2312"/>
          <w:b/>
          <w:bCs/>
          <w:sz w:val="28"/>
          <w:szCs w:val="28"/>
        </w:rPr>
      </w:pPr>
      <w:r>
        <w:rPr>
          <w:rFonts w:hint="eastAsia" w:ascii="仿宋_GB2312" w:hAnsi="宋体" w:eastAsia="仿宋_GB2312"/>
          <w:b/>
          <w:bCs/>
          <w:sz w:val="28"/>
          <w:szCs w:val="28"/>
        </w:rPr>
        <w:t>2、班级成绩【班级平均绩点及挂科情况】（20分）</w:t>
      </w:r>
    </w:p>
    <w:p>
      <w:pPr>
        <w:widowControl/>
        <w:autoSpaceDN w:val="0"/>
        <w:spacing w:line="480" w:lineRule="exact"/>
        <w:ind w:right="150"/>
        <w:jc w:val="left"/>
        <w:rPr>
          <w:rFonts w:ascii="仿宋_GB2312" w:hAnsi="仿宋_GB2312" w:eastAsia="仿宋_GB2312" w:cs="仿宋_GB2312"/>
          <w:sz w:val="24"/>
          <w:szCs w:val="24"/>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4"/>
          <w:szCs w:val="24"/>
        </w:rPr>
        <w:t>以各年级为单位分别比较2016-2017学年第一学期期末的平均绩点。</w:t>
      </w:r>
    </w:p>
    <w:tbl>
      <w:tblPr>
        <w:tblStyle w:val="4"/>
        <w:tblpPr w:leftFromText="180" w:rightFromText="180" w:vertAnchor="text" w:horzAnchor="page" w:tblpX="1777" w:tblpY="35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71"/>
        <w:gridCol w:w="4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3871" w:type="dxa"/>
            <w:vAlign w:val="center"/>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平均绩点在同年级的排名</w:t>
            </w:r>
          </w:p>
        </w:tc>
        <w:tc>
          <w:tcPr>
            <w:tcW w:w="4651" w:type="dxa"/>
            <w:vAlign w:val="center"/>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color w:val="000000"/>
                <w:sz w:val="24"/>
                <w:szCs w:val="24"/>
                <w:shd w:val="clear" w:color="auto" w:fill="FFFFFF"/>
              </w:rPr>
              <w:t>得分情况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3871" w:type="dxa"/>
            <w:vAlign w:val="center"/>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排名第一</w:t>
            </w:r>
          </w:p>
        </w:tc>
        <w:tc>
          <w:tcPr>
            <w:tcW w:w="4651" w:type="dxa"/>
          </w:tcPr>
          <w:p>
            <w:pPr>
              <w:shd w:val="solid" w:color="FFFFFF" w:fill="auto"/>
              <w:autoSpaceDN w:val="0"/>
              <w:spacing w:line="480" w:lineRule="exact"/>
              <w:jc w:val="center"/>
              <w:rPr>
                <w:rFonts w:ascii="仿宋_GB2312" w:hAnsi="仿宋_GB2312" w:eastAsia="仿宋_GB2312" w:cs="仿宋_GB2312"/>
                <w:color w:val="000000"/>
                <w:sz w:val="24"/>
                <w:szCs w:val="24"/>
                <w:shd w:val="clear" w:color="auto" w:fill="FFFFFF"/>
              </w:rPr>
            </w:pPr>
            <w:r>
              <w:rPr>
                <w:rFonts w:hint="eastAsia" w:ascii="仿宋_GB2312" w:hAnsi="仿宋_GB2312" w:eastAsia="仿宋_GB2312" w:cs="仿宋_GB2312"/>
                <w:color w:val="000000"/>
                <w:sz w:val="24"/>
                <w:szCs w:val="24"/>
                <w:shd w:val="clear" w:color="auto" w:fill="FFFFFF"/>
              </w:rPr>
              <w:t>最后得分为10分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trPr>
        <w:tc>
          <w:tcPr>
            <w:tcW w:w="3871"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排名第二</w:t>
            </w:r>
          </w:p>
        </w:tc>
        <w:tc>
          <w:tcPr>
            <w:tcW w:w="4651" w:type="dxa"/>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3871"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排名第三</w:t>
            </w:r>
          </w:p>
        </w:tc>
        <w:tc>
          <w:tcPr>
            <w:tcW w:w="4651" w:type="dxa"/>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trPr>
        <w:tc>
          <w:tcPr>
            <w:tcW w:w="3871"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排名第四</w:t>
            </w:r>
          </w:p>
        </w:tc>
        <w:tc>
          <w:tcPr>
            <w:tcW w:w="4651" w:type="dxa"/>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3871"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排名第五</w:t>
            </w:r>
          </w:p>
        </w:tc>
        <w:tc>
          <w:tcPr>
            <w:tcW w:w="4651" w:type="dxa"/>
          </w:tcPr>
          <w:p>
            <w:pPr>
              <w:shd w:val="solid" w:color="FFFFFF" w:fill="auto"/>
              <w:autoSpaceDN w:val="0"/>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3871"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排名第六</w:t>
            </w:r>
          </w:p>
        </w:tc>
        <w:tc>
          <w:tcPr>
            <w:tcW w:w="4651" w:type="dxa"/>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最后得分为5分</w:t>
            </w:r>
          </w:p>
        </w:tc>
      </w:tr>
    </w:tbl>
    <w:p>
      <w:pPr>
        <w:autoSpaceDN w:val="0"/>
        <w:spacing w:line="480" w:lineRule="exact"/>
        <w:ind w:right="150" w:firstLine="482" w:firstLineChars="200"/>
        <w:rPr>
          <w:rFonts w:ascii="仿宋_GB2312" w:hAnsi="宋体" w:eastAsia="仿宋_GB2312"/>
          <w:b/>
          <w:bCs/>
          <w:sz w:val="24"/>
          <w:szCs w:val="24"/>
        </w:rPr>
      </w:pPr>
      <w:r>
        <w:rPr>
          <w:rFonts w:hint="eastAsia" w:ascii="仿宋_GB2312" w:hAnsi="宋体" w:eastAsia="仿宋_GB2312"/>
          <w:b/>
          <w:bCs/>
          <w:sz w:val="24"/>
          <w:szCs w:val="24"/>
        </w:rPr>
        <w:t>注：以年级为单位，同年级班级之间进行比较排名。</w:t>
      </w:r>
    </w:p>
    <w:p>
      <w:pPr>
        <w:spacing w:line="480" w:lineRule="exact"/>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80" w:lineRule="exact"/>
        <w:jc w:val="left"/>
        <w:rPr>
          <w:rFonts w:ascii="仿宋_GB2312" w:hAnsi="仿宋_GB2312" w:eastAsia="仿宋_GB2312" w:cs="仿宋_GB2312"/>
          <w:sz w:val="28"/>
          <w:szCs w:val="28"/>
        </w:rPr>
      </w:pPr>
      <w:r>
        <w:rPr>
          <w:rFonts w:hint="eastAsia" w:ascii="仿宋_GB2312" w:hAnsi="仿宋_GB2312" w:eastAsia="仿宋_GB2312" w:cs="仿宋_GB2312"/>
          <w:sz w:val="24"/>
          <w:szCs w:val="24"/>
        </w:rPr>
        <w:t xml:space="preserve">  以各年级为单位分别比较2016-2017学年第一学期期末的挂科率。</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5"/>
        <w:gridCol w:w="4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同年级挂科率排名</w:t>
            </w:r>
          </w:p>
        </w:tc>
        <w:tc>
          <w:tcPr>
            <w:tcW w:w="4657"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color w:val="000000"/>
                <w:sz w:val="24"/>
                <w:szCs w:val="24"/>
                <w:shd w:val="clear" w:color="auto" w:fill="FFFFFF"/>
              </w:rPr>
              <w:t>得分情况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第一（最多）</w:t>
            </w:r>
          </w:p>
        </w:tc>
        <w:tc>
          <w:tcPr>
            <w:tcW w:w="4657"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第二</w:t>
            </w:r>
          </w:p>
        </w:tc>
        <w:tc>
          <w:tcPr>
            <w:tcW w:w="4657"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第三</w:t>
            </w:r>
          </w:p>
        </w:tc>
        <w:tc>
          <w:tcPr>
            <w:tcW w:w="4657" w:type="dxa"/>
          </w:tcPr>
          <w:p>
            <w:pPr>
              <w:tabs>
                <w:tab w:val="left" w:pos="1248"/>
              </w:tabs>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第四</w:t>
            </w:r>
          </w:p>
        </w:tc>
        <w:tc>
          <w:tcPr>
            <w:tcW w:w="4657"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第五</w:t>
            </w:r>
          </w:p>
        </w:tc>
        <w:tc>
          <w:tcPr>
            <w:tcW w:w="4657"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65"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第六（最少）</w:t>
            </w:r>
          </w:p>
        </w:tc>
        <w:tc>
          <w:tcPr>
            <w:tcW w:w="4657" w:type="dxa"/>
          </w:tcPr>
          <w:p>
            <w:pPr>
              <w:autoSpaceDN w:val="0"/>
              <w:spacing w:line="480" w:lineRule="exact"/>
              <w:ind w:right="15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最后得分为10分</w:t>
            </w:r>
          </w:p>
        </w:tc>
      </w:tr>
    </w:tbl>
    <w:p>
      <w:pPr>
        <w:autoSpaceDN w:val="0"/>
        <w:spacing w:line="480" w:lineRule="exact"/>
        <w:ind w:right="150" w:firstLine="482" w:firstLineChars="200"/>
        <w:rPr>
          <w:rFonts w:ascii="仿宋_GB2312" w:hAnsi="宋体" w:eastAsia="仿宋_GB2312"/>
          <w:b/>
          <w:bCs/>
          <w:sz w:val="24"/>
          <w:szCs w:val="24"/>
        </w:rPr>
      </w:pPr>
      <w:r>
        <w:rPr>
          <w:rFonts w:hint="eastAsia" w:ascii="仿宋_GB2312" w:hAnsi="宋体" w:eastAsia="仿宋_GB2312"/>
          <w:b/>
          <w:bCs/>
          <w:sz w:val="24"/>
          <w:szCs w:val="24"/>
        </w:rPr>
        <w:t>注：挂科率=挂科（补考未通过）人数/总人数</w:t>
      </w:r>
    </w:p>
    <w:p>
      <w:pPr>
        <w:rPr>
          <w:rFonts w:ascii="仿宋" w:hAnsi="仿宋" w:eastAsia="仿宋" w:cs="仿宋"/>
          <w:b/>
          <w:bCs/>
          <w:color w:val="000000"/>
          <w:sz w:val="44"/>
          <w:szCs w:val="44"/>
          <w:highlight w:val="yellow"/>
        </w:rPr>
      </w:pPr>
      <w:r>
        <w:rPr>
          <w:rFonts w:hint="eastAsia" w:ascii="仿宋_GB2312" w:hAnsi="仿宋_GB2312" w:eastAsia="仿宋_GB2312" w:cs="仿宋_GB2312"/>
          <w:b/>
          <w:bCs/>
          <w:sz w:val="28"/>
          <w:szCs w:val="28"/>
        </w:rPr>
        <w:t>3、班级出勤率（10分）（详情参考附件四）</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以学习部查课信息为主，取活动时间内每周出勤率的平均值。各班学委每周进行六次抽查点名，学习部每周会对每个班进行两次抽查。（活动时间为学风立项开始至结束）</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班级出勤率得分=每周出勤率的平均值*10</w:t>
      </w:r>
    </w:p>
    <w:p>
      <w:pPr>
        <w:ind w:firstLine="480" w:firstLineChars="200"/>
        <w:rPr>
          <w:rFonts w:ascii="仿宋_GB2312" w:hAnsi="宋体" w:eastAsia="仿宋_GB2312"/>
          <w:b/>
          <w:bCs/>
          <w:sz w:val="28"/>
          <w:szCs w:val="28"/>
        </w:rPr>
      </w:pPr>
      <w:r>
        <w:rPr>
          <w:rFonts w:hint="eastAsia" w:ascii="仿宋_GB2312" w:hAnsi="仿宋_GB2312" w:eastAsia="仿宋_GB2312" w:cs="仿宋_GB2312"/>
          <w:sz w:val="24"/>
          <w:szCs w:val="24"/>
        </w:rPr>
        <w:t>每节课出勤率=实到人数/应到人数，每周出勤率按照【(1*学委抽查出勤率总和+2*学习部抽查出勤率总和)*10】来计算。</w:t>
      </w:r>
    </w:p>
    <w:p>
      <w:pPr>
        <w:autoSpaceDN w:val="0"/>
        <w:spacing w:line="480" w:lineRule="exact"/>
        <w:ind w:right="150"/>
        <w:rPr>
          <w:rFonts w:ascii="仿宋_GB2312" w:hAnsi="宋体" w:eastAsia="仿宋_GB2312"/>
          <w:b/>
          <w:bCs/>
          <w:sz w:val="28"/>
          <w:szCs w:val="28"/>
        </w:rPr>
      </w:pPr>
      <w:r>
        <w:rPr>
          <w:rFonts w:hint="eastAsia" w:ascii="仿宋_GB2312" w:hAnsi="宋体" w:eastAsia="仿宋_GB2312"/>
          <w:b/>
          <w:bCs/>
          <w:sz w:val="28"/>
          <w:szCs w:val="28"/>
        </w:rPr>
        <w:t>4、任课教师课堂评价（10分）</w:t>
      </w:r>
    </w:p>
    <w:p>
      <w:pPr>
        <w:spacing w:line="480" w:lineRule="exact"/>
        <w:ind w:firstLine="480" w:firstLineChars="200"/>
        <w:jc w:val="left"/>
        <w:rPr>
          <w:rFonts w:ascii="仿宋_GB2312" w:hAnsi="宋体" w:eastAsia="仿宋_GB2312"/>
          <w:sz w:val="28"/>
          <w:szCs w:val="28"/>
        </w:rPr>
      </w:pPr>
      <w:r>
        <w:rPr>
          <w:rFonts w:hint="eastAsia" w:ascii="仿宋_GB2312" w:hAnsi="仿宋_GB2312" w:eastAsia="仿宋_GB2312" w:cs="仿宋_GB2312"/>
          <w:sz w:val="24"/>
          <w:szCs w:val="24"/>
        </w:rPr>
        <w:t>根据教师对该班学生课堂表现情况进行评分。学习部查课人员在查课时，将下方表格交由该班当时的任课老师进行填写，根据所有评价表的填写情况进行分数评测（最后取所有表得分的平均值）。</w:t>
      </w:r>
    </w:p>
    <w:tbl>
      <w:tblPr>
        <w:tblStyle w:val="5"/>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2587"/>
        <w:gridCol w:w="486"/>
        <w:gridCol w:w="4264"/>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9520" w:type="dxa"/>
            <w:gridSpan w:val="5"/>
          </w:tcPr>
          <w:p>
            <w:pPr>
              <w:widowControl/>
              <w:autoSpaceDN w:val="0"/>
              <w:spacing w:line="480" w:lineRule="exact"/>
              <w:ind w:right="150"/>
              <w:jc w:val="center"/>
              <w:rPr>
                <w:rFonts w:ascii="仿宋_GB2312" w:hAnsi="宋体" w:eastAsia="仿宋_GB2312"/>
                <w:sz w:val="28"/>
                <w:szCs w:val="28"/>
              </w:rPr>
            </w:pPr>
            <w:r>
              <w:rPr>
                <w:rFonts w:hint="eastAsia" w:ascii="华文仿宋" w:hAnsi="华文仿宋" w:eastAsia="华文仿宋" w:cs="华文仿宋"/>
                <w:sz w:val="28"/>
                <w:szCs w:val="28"/>
              </w:rPr>
              <w:t>材料学院班级学风评价表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520" w:type="dxa"/>
            <w:gridSpan w:val="5"/>
          </w:tcPr>
          <w:p>
            <w:pPr>
              <w:widowControl/>
              <w:autoSpaceDN w:val="0"/>
              <w:spacing w:line="480" w:lineRule="exact"/>
              <w:ind w:right="150"/>
              <w:jc w:val="left"/>
              <w:rPr>
                <w:rFonts w:ascii="仿宋_GB2312" w:hAnsi="宋体" w:eastAsia="仿宋_GB2312"/>
                <w:sz w:val="28"/>
                <w:szCs w:val="28"/>
              </w:rPr>
            </w:pPr>
            <w:r>
              <w:rPr>
                <w:rFonts w:hint="eastAsia" w:ascii="仿宋_GB2312" w:hAnsi="仿宋_GB2312" w:eastAsia="仿宋_GB2312" w:cs="仿宋_GB2312"/>
                <w:sz w:val="28"/>
                <w:szCs w:val="28"/>
              </w:rPr>
              <w:t>班级：               课程：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00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序号</w:t>
            </w:r>
          </w:p>
        </w:tc>
        <w:tc>
          <w:tcPr>
            <w:tcW w:w="3073" w:type="dxa"/>
            <w:gridSpan w:val="2"/>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项目</w:t>
            </w:r>
          </w:p>
        </w:tc>
        <w:tc>
          <w:tcPr>
            <w:tcW w:w="426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等级</w:t>
            </w:r>
          </w:p>
        </w:tc>
        <w:tc>
          <w:tcPr>
            <w:tcW w:w="1179"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00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1</w:t>
            </w:r>
          </w:p>
        </w:tc>
        <w:tc>
          <w:tcPr>
            <w:tcW w:w="3073" w:type="dxa"/>
            <w:gridSpan w:val="2"/>
          </w:tcPr>
          <w:p>
            <w:pPr>
              <w:widowControl/>
              <w:autoSpaceDN w:val="0"/>
              <w:spacing w:line="480" w:lineRule="exact"/>
              <w:ind w:right="150"/>
              <w:jc w:val="center"/>
              <w:rPr>
                <w:rFonts w:ascii="仿宋_GB2312" w:hAnsi="宋体" w:eastAsia="仿宋_GB2312"/>
                <w:sz w:val="28"/>
                <w:szCs w:val="28"/>
              </w:rPr>
            </w:pPr>
            <w:r>
              <w:rPr>
                <w:rFonts w:hint="eastAsia" w:ascii="仿宋_GB2312" w:hAnsi="仿宋_GB2312" w:eastAsia="仿宋_GB2312" w:cs="仿宋_GB2312"/>
                <w:sz w:val="28"/>
                <w:szCs w:val="28"/>
              </w:rPr>
              <w:t>该班上课迟到、旷到人数</w:t>
            </w:r>
          </w:p>
        </w:tc>
        <w:tc>
          <w:tcPr>
            <w:tcW w:w="4264"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A.无    B.1-3人    C.4-6人   D.7-9人  E.10人及以上</w:t>
            </w:r>
          </w:p>
        </w:tc>
        <w:tc>
          <w:tcPr>
            <w:tcW w:w="1179"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00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2</w:t>
            </w:r>
          </w:p>
        </w:tc>
        <w:tc>
          <w:tcPr>
            <w:tcW w:w="3073" w:type="dxa"/>
            <w:gridSpan w:val="2"/>
          </w:tcPr>
          <w:p>
            <w:pPr>
              <w:widowControl/>
              <w:autoSpaceDN w:val="0"/>
              <w:spacing w:line="480" w:lineRule="exact"/>
              <w:ind w:right="150"/>
              <w:jc w:val="center"/>
              <w:rPr>
                <w:rFonts w:ascii="仿宋_GB2312" w:hAnsi="宋体" w:eastAsia="仿宋_GB2312"/>
                <w:sz w:val="28"/>
                <w:szCs w:val="28"/>
              </w:rPr>
            </w:pPr>
            <w:r>
              <w:rPr>
                <w:rFonts w:hint="eastAsia" w:ascii="仿宋_GB2312" w:hAnsi="仿宋_GB2312" w:eastAsia="仿宋_GB2312" w:cs="仿宋_GB2312"/>
                <w:sz w:val="28"/>
                <w:szCs w:val="28"/>
              </w:rPr>
              <w:t>该班同学课堂参与程度</w:t>
            </w:r>
          </w:p>
        </w:tc>
        <w:tc>
          <w:tcPr>
            <w:tcW w:w="4264" w:type="dxa"/>
          </w:tcPr>
          <w:p>
            <w:pPr>
              <w:widowControl/>
              <w:numPr>
                <w:ilvl w:val="0"/>
                <w:numId w:val="1"/>
              </w:numPr>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非常好   B.好   C.一般   D.差   E.非常差</w:t>
            </w:r>
          </w:p>
        </w:tc>
        <w:tc>
          <w:tcPr>
            <w:tcW w:w="1179"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00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3</w:t>
            </w:r>
          </w:p>
        </w:tc>
        <w:tc>
          <w:tcPr>
            <w:tcW w:w="3073" w:type="dxa"/>
            <w:gridSpan w:val="2"/>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上课时睡觉、玩手机的人数</w:t>
            </w:r>
          </w:p>
        </w:tc>
        <w:tc>
          <w:tcPr>
            <w:tcW w:w="4264"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A.无    B.1-3人    C.4-6人    D.7-9人   E.10人以上</w:t>
            </w:r>
          </w:p>
        </w:tc>
        <w:tc>
          <w:tcPr>
            <w:tcW w:w="1179"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00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4</w:t>
            </w:r>
          </w:p>
        </w:tc>
        <w:tc>
          <w:tcPr>
            <w:tcW w:w="3073" w:type="dxa"/>
            <w:gridSpan w:val="2"/>
          </w:tcPr>
          <w:p>
            <w:pPr>
              <w:widowControl/>
              <w:autoSpaceDN w:val="0"/>
              <w:spacing w:line="480" w:lineRule="exact"/>
              <w:ind w:right="150"/>
              <w:jc w:val="center"/>
              <w:rPr>
                <w:rFonts w:ascii="仿宋_GB2312" w:hAnsi="宋体" w:eastAsia="仿宋_GB2312"/>
                <w:sz w:val="28"/>
                <w:szCs w:val="28"/>
              </w:rPr>
            </w:pPr>
            <w:r>
              <w:rPr>
                <w:rFonts w:hint="eastAsia" w:ascii="仿宋_GB2312" w:hAnsi="仿宋_GB2312" w:eastAsia="仿宋_GB2312" w:cs="仿宋_GB2312"/>
                <w:sz w:val="28"/>
                <w:szCs w:val="28"/>
              </w:rPr>
              <w:t>该班同学学习主动性</w:t>
            </w:r>
          </w:p>
        </w:tc>
        <w:tc>
          <w:tcPr>
            <w:tcW w:w="4264"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A.非常主动  B.主动  C.一般       D.被动  E.非常被动</w:t>
            </w:r>
          </w:p>
        </w:tc>
        <w:tc>
          <w:tcPr>
            <w:tcW w:w="1179"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1004"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5</w:t>
            </w:r>
          </w:p>
        </w:tc>
        <w:tc>
          <w:tcPr>
            <w:tcW w:w="3073" w:type="dxa"/>
            <w:gridSpan w:val="2"/>
          </w:tcPr>
          <w:p>
            <w:pPr>
              <w:widowControl/>
              <w:autoSpaceDN w:val="0"/>
              <w:spacing w:line="480" w:lineRule="exact"/>
              <w:ind w:right="150"/>
              <w:jc w:val="center"/>
              <w:rPr>
                <w:rFonts w:ascii="仿宋_GB2312" w:hAnsi="宋体" w:eastAsia="仿宋_GB2312"/>
                <w:color w:val="0000FF"/>
                <w:sz w:val="28"/>
                <w:szCs w:val="28"/>
              </w:rPr>
            </w:pPr>
            <w:r>
              <w:rPr>
                <w:rFonts w:hint="eastAsia" w:ascii="仿宋_GB2312" w:hAnsi="仿宋_GB2312" w:eastAsia="仿宋_GB2312" w:cs="仿宋_GB2312"/>
                <w:sz w:val="28"/>
                <w:szCs w:val="28"/>
              </w:rPr>
              <w:t>对该班作业情况满意程度</w:t>
            </w:r>
          </w:p>
        </w:tc>
        <w:tc>
          <w:tcPr>
            <w:tcW w:w="4264" w:type="dxa"/>
          </w:tcPr>
          <w:p>
            <w:pPr>
              <w:widowControl/>
              <w:numPr>
                <w:ilvl w:val="0"/>
                <w:numId w:val="2"/>
              </w:numPr>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非常满意  B.满意  C.一般   D.不满意  E.非常不满意</w:t>
            </w:r>
          </w:p>
        </w:tc>
        <w:tc>
          <w:tcPr>
            <w:tcW w:w="1179"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9520" w:type="dxa"/>
            <w:gridSpan w:val="5"/>
          </w:tcPr>
          <w:p>
            <w:pPr>
              <w:widowControl/>
              <w:autoSpaceDN w:val="0"/>
              <w:spacing w:line="480" w:lineRule="exact"/>
              <w:ind w:right="150"/>
              <w:rPr>
                <w:rFonts w:ascii="仿宋_GB2312" w:hAnsi="宋体" w:eastAsia="仿宋_GB2312"/>
                <w:sz w:val="28"/>
                <w:szCs w:val="28"/>
              </w:rPr>
            </w:pPr>
            <w:r>
              <w:rPr>
                <w:rFonts w:hint="eastAsia" w:ascii="仿宋_GB2312" w:hAnsi="宋体" w:eastAsia="仿宋_GB2312"/>
                <w:sz w:val="28"/>
                <w:szCs w:val="28"/>
              </w:rPr>
              <w:t>备注：A.10分      B.8分      C.6分      D.4分     E.0分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3591" w:type="dxa"/>
            <w:gridSpan w:val="2"/>
          </w:tcPr>
          <w:p>
            <w:pPr>
              <w:widowControl/>
              <w:autoSpaceDN w:val="0"/>
              <w:spacing w:line="480" w:lineRule="exact"/>
              <w:ind w:right="150"/>
              <w:rPr>
                <w:rFonts w:ascii="仿宋_GB2312" w:hAnsi="宋体" w:eastAsia="仿宋_GB2312"/>
                <w:sz w:val="28"/>
                <w:szCs w:val="28"/>
              </w:rPr>
            </w:pPr>
            <w:r>
              <w:rPr>
                <w:rFonts w:hint="eastAsia" w:ascii="仿宋_GB2312" w:hAnsi="宋体" w:eastAsia="仿宋_GB2312"/>
                <w:sz w:val="28"/>
                <w:szCs w:val="28"/>
              </w:rPr>
              <w:t>总分：</w:t>
            </w:r>
          </w:p>
        </w:tc>
        <w:tc>
          <w:tcPr>
            <w:tcW w:w="5929" w:type="dxa"/>
            <w:gridSpan w:val="3"/>
          </w:tcPr>
          <w:p>
            <w:pPr>
              <w:widowControl/>
              <w:autoSpaceDN w:val="0"/>
              <w:spacing w:line="480" w:lineRule="exact"/>
              <w:ind w:right="150"/>
              <w:rPr>
                <w:rFonts w:ascii="仿宋_GB2312" w:hAnsi="宋体" w:eastAsia="仿宋_GB2312"/>
                <w:sz w:val="28"/>
                <w:szCs w:val="28"/>
              </w:rPr>
            </w:pPr>
            <w:r>
              <w:rPr>
                <w:rFonts w:hint="eastAsia" w:ascii="仿宋_GB2312" w:hAnsi="宋体" w:eastAsia="仿宋_GB2312"/>
                <w:sz w:val="28"/>
                <w:szCs w:val="28"/>
              </w:rPr>
              <w:t>教师签名：</w:t>
            </w:r>
          </w:p>
        </w:tc>
      </w:tr>
    </w:tbl>
    <w:p>
      <w:pPr>
        <w:autoSpaceDN w:val="0"/>
        <w:spacing w:line="480" w:lineRule="exact"/>
        <w:ind w:right="150"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注：单表分数取5项分数的平均分。</w:t>
      </w:r>
    </w:p>
    <w:p>
      <w:pPr>
        <w:autoSpaceDN w:val="0"/>
        <w:spacing w:line="480" w:lineRule="exact"/>
        <w:ind w:right="150"/>
        <w:rPr>
          <w:rFonts w:ascii="仿宋_GB2312" w:hAnsi="宋体" w:eastAsia="仿宋_GB2312"/>
          <w:sz w:val="28"/>
          <w:szCs w:val="28"/>
        </w:rPr>
      </w:pPr>
      <w:r>
        <w:rPr>
          <w:rFonts w:hint="eastAsia" w:ascii="仿宋_GB2312" w:hAnsi="仿宋_GB2312" w:eastAsia="仿宋_GB2312" w:cs="仿宋_GB2312"/>
          <w:b/>
          <w:bCs/>
          <w:sz w:val="28"/>
          <w:szCs w:val="28"/>
        </w:rPr>
        <w:t>5、</w:t>
      </w:r>
      <w:r>
        <w:rPr>
          <w:rFonts w:hint="eastAsia" w:ascii="仿宋_GB2312" w:hAnsi="宋体" w:eastAsia="仿宋_GB2312"/>
          <w:b/>
          <w:bCs/>
          <w:sz w:val="28"/>
          <w:szCs w:val="28"/>
        </w:rPr>
        <w:t>活动开展评分（10分）</w:t>
      </w:r>
    </w:p>
    <w:p>
      <w:pPr>
        <w:spacing w:line="480" w:lineRule="exact"/>
        <w:ind w:firstLine="480" w:firstLineChars="200"/>
        <w:jc w:val="left"/>
        <w:rPr>
          <w:rFonts w:ascii="仿宋_GB2312" w:hAnsi="宋体" w:eastAsia="仿宋_GB2312"/>
          <w:sz w:val="28"/>
          <w:szCs w:val="28"/>
        </w:rPr>
      </w:pPr>
      <w:r>
        <w:rPr>
          <w:rFonts w:hint="eastAsia" w:ascii="仿宋_GB2312" w:hAnsi="仿宋_GB2312" w:eastAsia="仿宋_GB2312" w:cs="仿宋_GB2312"/>
          <w:sz w:val="24"/>
          <w:szCs w:val="24"/>
        </w:rPr>
        <w:t>学习部根据各班级活动开展的情况进行评分，学习部每学期对各班活动进行一次抽查，最终成绩取两次所得平均分。</w:t>
      </w:r>
    </w:p>
    <w:tbl>
      <w:tblPr>
        <w:tblStyle w:val="5"/>
        <w:tblW w:w="8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2475"/>
        <w:gridCol w:w="4365"/>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797" w:type="dxa"/>
            <w:gridSpan w:val="4"/>
          </w:tcPr>
          <w:p>
            <w:pPr>
              <w:widowControl/>
              <w:autoSpaceDN w:val="0"/>
              <w:spacing w:line="480" w:lineRule="exact"/>
              <w:ind w:right="150"/>
              <w:jc w:val="center"/>
              <w:rPr>
                <w:rFonts w:ascii="仿宋_GB2312" w:hAnsi="宋体" w:eastAsia="仿宋_GB2312"/>
                <w:sz w:val="28"/>
                <w:szCs w:val="28"/>
              </w:rPr>
            </w:pPr>
            <w:r>
              <w:rPr>
                <w:rFonts w:hint="eastAsia" w:ascii="华文仿宋" w:hAnsi="华文仿宋" w:eastAsia="华文仿宋" w:cs="华文仿宋"/>
                <w:sz w:val="28"/>
                <w:szCs w:val="28"/>
              </w:rPr>
              <w:t>材料学院学风立项活动考评表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97" w:type="dxa"/>
            <w:gridSpan w:val="4"/>
          </w:tcPr>
          <w:p>
            <w:pPr>
              <w:widowControl/>
              <w:autoSpaceDN w:val="0"/>
              <w:spacing w:line="480" w:lineRule="exact"/>
              <w:ind w:right="150"/>
              <w:jc w:val="left"/>
              <w:rPr>
                <w:rFonts w:ascii="仿宋_GB2312" w:hAnsi="宋体" w:eastAsia="仿宋_GB2312"/>
                <w:sz w:val="28"/>
                <w:szCs w:val="28"/>
              </w:rPr>
            </w:pPr>
            <w:r>
              <w:rPr>
                <w:rFonts w:hint="eastAsia" w:ascii="仿宋_GB2312" w:hAnsi="仿宋_GB2312" w:eastAsia="仿宋_GB2312" w:cs="仿宋_GB2312"/>
                <w:sz w:val="28"/>
                <w:szCs w:val="28"/>
              </w:rPr>
              <w:t>活动名称：                 班级：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961"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序号</w:t>
            </w:r>
          </w:p>
        </w:tc>
        <w:tc>
          <w:tcPr>
            <w:tcW w:w="247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项目</w:t>
            </w:r>
          </w:p>
        </w:tc>
        <w:tc>
          <w:tcPr>
            <w:tcW w:w="436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等级</w:t>
            </w:r>
          </w:p>
        </w:tc>
        <w:tc>
          <w:tcPr>
            <w:tcW w:w="996"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1</w:t>
            </w:r>
          </w:p>
        </w:tc>
        <w:tc>
          <w:tcPr>
            <w:tcW w:w="247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活动出勤率（应到人数/实到人数）</w:t>
            </w:r>
          </w:p>
        </w:tc>
        <w:tc>
          <w:tcPr>
            <w:tcW w:w="4365"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A.95%及以上     B.90%-94% C.80%-89%       D.70%-79%</w:t>
            </w:r>
          </w:p>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E.70%及以下</w:t>
            </w:r>
          </w:p>
        </w:tc>
        <w:tc>
          <w:tcPr>
            <w:tcW w:w="996"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2</w:t>
            </w:r>
          </w:p>
        </w:tc>
        <w:tc>
          <w:tcPr>
            <w:tcW w:w="247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活动开展时同学参与积极性</w:t>
            </w:r>
          </w:p>
        </w:tc>
        <w:tc>
          <w:tcPr>
            <w:tcW w:w="4365"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A.非常积极 B.积极   C.一般   D.不积极   E.非常不积极</w:t>
            </w:r>
          </w:p>
        </w:tc>
        <w:tc>
          <w:tcPr>
            <w:tcW w:w="996"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3</w:t>
            </w:r>
          </w:p>
        </w:tc>
        <w:tc>
          <w:tcPr>
            <w:tcW w:w="247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活动组织情况</w:t>
            </w:r>
          </w:p>
        </w:tc>
        <w:tc>
          <w:tcPr>
            <w:tcW w:w="4365"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A.优秀    B.良好     C.中等    D.及格    E.不及格</w:t>
            </w:r>
          </w:p>
        </w:tc>
        <w:tc>
          <w:tcPr>
            <w:tcW w:w="996"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4</w:t>
            </w:r>
          </w:p>
        </w:tc>
        <w:tc>
          <w:tcPr>
            <w:tcW w:w="247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活动开展时睡觉、玩手机的人数</w:t>
            </w:r>
          </w:p>
        </w:tc>
        <w:tc>
          <w:tcPr>
            <w:tcW w:w="4365"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A.无      B.1-3人    C.4-6人     D.7-9人   E.10人及以上</w:t>
            </w:r>
          </w:p>
        </w:tc>
        <w:tc>
          <w:tcPr>
            <w:tcW w:w="996"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5</w:t>
            </w:r>
          </w:p>
        </w:tc>
        <w:tc>
          <w:tcPr>
            <w:tcW w:w="2475" w:type="dxa"/>
          </w:tcPr>
          <w:p>
            <w:pPr>
              <w:widowControl/>
              <w:autoSpaceDN w:val="0"/>
              <w:spacing w:line="480" w:lineRule="exact"/>
              <w:ind w:right="150"/>
              <w:jc w:val="center"/>
              <w:rPr>
                <w:rFonts w:ascii="仿宋_GB2312" w:hAnsi="宋体" w:eastAsia="仿宋_GB2312"/>
                <w:sz w:val="28"/>
                <w:szCs w:val="28"/>
              </w:rPr>
            </w:pPr>
            <w:r>
              <w:rPr>
                <w:rFonts w:hint="eastAsia" w:ascii="仿宋_GB2312" w:hAnsi="仿宋_GB2312" w:eastAsia="仿宋_GB2312" w:cs="仿宋_GB2312"/>
                <w:sz w:val="28"/>
                <w:szCs w:val="28"/>
              </w:rPr>
              <w:t>活动开展氛围</w:t>
            </w:r>
          </w:p>
        </w:tc>
        <w:tc>
          <w:tcPr>
            <w:tcW w:w="4365" w:type="dxa"/>
          </w:tcPr>
          <w:p>
            <w:pPr>
              <w:widowControl/>
              <w:autoSpaceDN w:val="0"/>
              <w:spacing w:line="480" w:lineRule="exact"/>
              <w:ind w:right="150"/>
              <w:jc w:val="left"/>
              <w:rPr>
                <w:rFonts w:ascii="仿宋_GB2312" w:hAnsi="宋体" w:eastAsia="仿宋_GB2312"/>
                <w:sz w:val="28"/>
                <w:szCs w:val="28"/>
              </w:rPr>
            </w:pPr>
            <w:r>
              <w:rPr>
                <w:rFonts w:hint="eastAsia" w:ascii="仿宋_GB2312" w:hAnsi="宋体" w:eastAsia="仿宋_GB2312"/>
                <w:sz w:val="28"/>
                <w:szCs w:val="28"/>
              </w:rPr>
              <w:t>A.非常好  B.好     C.一般   D.不好    E.非常不好</w:t>
            </w:r>
          </w:p>
        </w:tc>
        <w:tc>
          <w:tcPr>
            <w:tcW w:w="996" w:type="dxa"/>
          </w:tcPr>
          <w:p>
            <w:pPr>
              <w:widowControl/>
              <w:autoSpaceDN w:val="0"/>
              <w:spacing w:line="480" w:lineRule="exact"/>
              <w:ind w:right="15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 w:hRule="atLeast"/>
        </w:trPr>
        <w:tc>
          <w:tcPr>
            <w:tcW w:w="8797" w:type="dxa"/>
            <w:gridSpan w:val="4"/>
          </w:tcPr>
          <w:p>
            <w:pPr>
              <w:widowControl/>
              <w:autoSpaceDN w:val="0"/>
              <w:spacing w:line="480" w:lineRule="exact"/>
              <w:ind w:right="150"/>
              <w:jc w:val="center"/>
              <w:rPr>
                <w:rFonts w:ascii="仿宋_GB2312" w:hAnsi="宋体" w:eastAsia="仿宋_GB2312"/>
                <w:sz w:val="28"/>
                <w:szCs w:val="28"/>
              </w:rPr>
            </w:pPr>
            <w:r>
              <w:rPr>
                <w:rFonts w:hint="eastAsia" w:ascii="仿宋_GB2312" w:hAnsi="宋体" w:eastAsia="仿宋_GB2312"/>
                <w:sz w:val="28"/>
                <w:szCs w:val="28"/>
              </w:rPr>
              <w:t>备注：A.10分     B.8分       C.6分      D.4分     E.0分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36" w:type="dxa"/>
            <w:gridSpan w:val="2"/>
          </w:tcPr>
          <w:p>
            <w:pPr>
              <w:widowControl/>
              <w:autoSpaceDN w:val="0"/>
              <w:spacing w:line="480" w:lineRule="exact"/>
              <w:ind w:right="150"/>
              <w:rPr>
                <w:rFonts w:ascii="仿宋_GB2312" w:hAnsi="宋体" w:eastAsia="仿宋_GB2312"/>
                <w:sz w:val="28"/>
                <w:szCs w:val="28"/>
              </w:rPr>
            </w:pPr>
            <w:r>
              <w:rPr>
                <w:rFonts w:hint="eastAsia" w:ascii="仿宋_GB2312" w:hAnsi="宋体" w:eastAsia="仿宋_GB2312"/>
                <w:sz w:val="28"/>
                <w:szCs w:val="28"/>
              </w:rPr>
              <w:t>总分：</w:t>
            </w:r>
          </w:p>
        </w:tc>
        <w:tc>
          <w:tcPr>
            <w:tcW w:w="5361" w:type="dxa"/>
            <w:gridSpan w:val="2"/>
          </w:tcPr>
          <w:p>
            <w:pPr>
              <w:widowControl/>
              <w:autoSpaceDN w:val="0"/>
              <w:spacing w:line="480" w:lineRule="exact"/>
              <w:ind w:right="150"/>
              <w:rPr>
                <w:rFonts w:ascii="仿宋_GB2312" w:hAnsi="宋体" w:eastAsia="仿宋_GB2312"/>
                <w:sz w:val="28"/>
                <w:szCs w:val="28"/>
              </w:rPr>
            </w:pPr>
            <w:r>
              <w:rPr>
                <w:rFonts w:hint="eastAsia" w:ascii="仿宋_GB2312" w:hAnsi="宋体" w:eastAsia="仿宋_GB2312"/>
                <w:sz w:val="28"/>
                <w:szCs w:val="28"/>
              </w:rPr>
              <w:t>评分人：</w:t>
            </w:r>
          </w:p>
        </w:tc>
      </w:tr>
    </w:tbl>
    <w:p>
      <w:pPr>
        <w:spacing w:line="480" w:lineRule="exact"/>
        <w:ind w:firstLine="482" w:firstLineChars="200"/>
        <w:rPr>
          <w:rFonts w:ascii="仿宋_GB2312" w:hAnsi="宋体" w:eastAsia="仿宋_GB2312"/>
          <w:b/>
          <w:bCs/>
          <w:sz w:val="24"/>
          <w:szCs w:val="24"/>
        </w:rPr>
      </w:pPr>
      <w:r>
        <w:rPr>
          <w:rFonts w:hint="eastAsia" w:ascii="仿宋_GB2312" w:hAnsi="宋体" w:eastAsia="仿宋_GB2312"/>
          <w:b/>
          <w:bCs/>
          <w:sz w:val="24"/>
          <w:szCs w:val="24"/>
        </w:rPr>
        <w:t>注：单表成绩得分取5项的平均分。</w:t>
      </w:r>
    </w:p>
    <w:p>
      <w:pPr>
        <w:spacing w:line="480" w:lineRule="exact"/>
        <w:rPr>
          <w:rFonts w:ascii="仿宋_GB2312" w:hAnsi="仿宋_GB2312" w:eastAsia="仿宋_GB2312" w:cs="仿宋_GB2312"/>
          <w:b/>
          <w:bCs/>
          <w:sz w:val="28"/>
          <w:szCs w:val="28"/>
        </w:rPr>
      </w:pPr>
    </w:p>
    <w:p>
      <w:pPr>
        <w:spacing w:line="48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6、学风立项中期检查汇报会（10分）（详情参考附件五）</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各班学委对上学期的学风立项情况进行汇报，内容包括活动进程，活动的效果以及活动中所遇到的问题、分析和解决方案，下学期活动的调整和进行方式。</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计算方式：中期检查汇报汇报评分分数*10%</w:t>
      </w:r>
    </w:p>
    <w:p>
      <w:pPr>
        <w:spacing w:line="48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7、学科竞赛、科创活动及文章发表（5分）</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参加国家、省、市、学校或学院举办的高数竞赛、英语竞赛、数学建模大赛等学科竞赛以及挑战杯、实验技能大赛等科创活动，以及发表论文或者征文大赛等学术相关类比赛（未涉及到的竞赛与科创活动，班级若有人参加并得奖可以报至学习部，学习部与院团委审核认为符合条件后，同样给予加分）</w:t>
      </w:r>
    </w:p>
    <w:p>
      <w:pPr>
        <w:spacing w:line="480" w:lineRule="exact"/>
        <w:rPr>
          <w:rFonts w:ascii="仿宋_GB2312" w:hAnsi="仿宋_GB2312" w:eastAsia="仿宋_GB2312" w:cs="仿宋_GB2312"/>
          <w:sz w:val="28"/>
          <w:szCs w:val="28"/>
        </w:rPr>
      </w:pPr>
      <w:r>
        <w:rPr>
          <w:rFonts w:hint="eastAsia" w:ascii="仿宋_GB2312" w:hAnsi="仿宋_GB2312" w:eastAsia="仿宋_GB2312" w:cs="仿宋_GB2312"/>
          <w:sz w:val="24"/>
          <w:szCs w:val="24"/>
        </w:rPr>
        <w:t xml:space="preserve">    1）学科竞赛评分标准（分数/队）</w:t>
      </w:r>
    </w:p>
    <w:tbl>
      <w:tblPr>
        <w:tblStyle w:val="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0"/>
        <w:gridCol w:w="1420"/>
        <w:gridCol w:w="1421"/>
        <w:gridCol w:w="1420"/>
        <w:gridCol w:w="1420"/>
        <w:gridCol w:w="1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特等奖</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t>一等奖</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t>二等奖</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t>三等奖</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t>优秀奖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t>国家级</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2.0分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1.9</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1.8</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1.7</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1.6</w:t>
            </w:r>
            <w: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t>省</w:t>
            </w:r>
            <w:r>
              <w:rPr>
                <w:rFonts w:hint="eastAsia"/>
              </w:rPr>
              <w:t>、</w:t>
            </w:r>
            <w:r>
              <w:t>市级</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1.5分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1.4</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1.3</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1.2</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1.1</w:t>
            </w:r>
            <w: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7" w:hRule="atLeast"/>
        </w:trPr>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校级</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1.0分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0.9</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0.8</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0.7</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0.6</w:t>
            </w:r>
            <w: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t>院级</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0.5分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0.4</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0.3</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t>0.</w:t>
            </w:r>
            <w:r>
              <w:rPr>
                <w:rFonts w:hint="eastAsia"/>
              </w:rPr>
              <w:t>2</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t>0.</w:t>
            </w:r>
            <w:r>
              <w:rPr>
                <w:rFonts w:hint="eastAsia"/>
              </w:rPr>
              <w:t>1</w:t>
            </w:r>
            <w:r>
              <w:t>分</w:t>
            </w:r>
          </w:p>
        </w:tc>
      </w:tr>
    </w:tbl>
    <w:p>
      <w:pPr>
        <w:shd w:val="solid" w:color="FFFFFF" w:fill="auto"/>
        <w:autoSpaceDN w:val="0"/>
        <w:spacing w:line="480" w:lineRule="exact"/>
        <w:jc w:val="left"/>
        <w:rPr>
          <w:rFonts w:ascii="仿宋_GB2312" w:hAnsi="仿宋_GB2312" w:eastAsia="仿宋_GB2312" w:cs="仿宋_GB2312"/>
          <w:sz w:val="24"/>
          <w:szCs w:val="24"/>
        </w:rPr>
      </w:pPr>
      <w:r>
        <w:rPr>
          <w:rFonts w:hint="eastAsia" w:ascii="仿宋_GB2312" w:eastAsia="仿宋_GB2312"/>
          <w:color w:val="000000"/>
          <w:sz w:val="24"/>
          <w:szCs w:val="24"/>
          <w:shd w:val="clear" w:color="auto" w:fill="FFFFFF"/>
        </w:rPr>
        <w:t>（跨班级组队的按照本班参加人数占队伍总人数的比例进行加分，无等级或前三名以外的奖状记为同等级的优秀奖）</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2）科创活动评分标准（团体成员在不同班时，将团体得分平均加到各班班级）（分数/队）</w:t>
      </w:r>
    </w:p>
    <w:tbl>
      <w:tblPr>
        <w:tblStyle w:val="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0"/>
        <w:gridCol w:w="933"/>
        <w:gridCol w:w="1908"/>
        <w:gridCol w:w="1420"/>
        <w:gridCol w:w="1420"/>
        <w:gridCol w:w="1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tc>
        <w:tc>
          <w:tcPr>
            <w:tcW w:w="933" w:type="dxa"/>
            <w:tcBorders>
              <w:top w:val="single" w:color="auto" w:sz="4" w:space="0"/>
              <w:left w:val="single" w:color="auto" w:sz="4" w:space="0"/>
              <w:bottom w:val="single" w:color="auto" w:sz="4" w:space="0"/>
              <w:right w:val="single" w:color="auto" w:sz="4" w:space="0"/>
            </w:tcBorders>
            <w:shd w:val="clear" w:color="auto" w:fill="auto"/>
          </w:tcPr>
          <w:p>
            <w:r>
              <w:t>特等奖</w:t>
            </w:r>
          </w:p>
        </w:tc>
        <w:tc>
          <w:tcPr>
            <w:tcW w:w="1908" w:type="dxa"/>
            <w:tcBorders>
              <w:top w:val="single" w:color="auto" w:sz="4" w:space="0"/>
              <w:left w:val="single" w:color="auto" w:sz="4" w:space="0"/>
              <w:bottom w:val="single" w:color="auto" w:sz="4" w:space="0"/>
              <w:right w:val="single" w:color="auto" w:sz="4" w:space="0"/>
            </w:tcBorders>
            <w:shd w:val="clear" w:color="auto" w:fill="auto"/>
          </w:tcPr>
          <w:p>
            <w:r>
              <w:t>一等奖</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t>二等奖</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t>三等奖</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t>优秀奖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t>国家级</w:t>
            </w:r>
          </w:p>
        </w:tc>
        <w:tc>
          <w:tcPr>
            <w:tcW w:w="933"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5.0分</w:t>
            </w:r>
          </w:p>
        </w:tc>
        <w:tc>
          <w:tcPr>
            <w:tcW w:w="1908"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4.8</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4.6</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4.</w:t>
            </w:r>
            <w:r>
              <w:t>4分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4.2</w:t>
            </w:r>
            <w: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t>省</w:t>
            </w:r>
            <w:r>
              <w:rPr>
                <w:rFonts w:hint="eastAsia"/>
              </w:rPr>
              <w:t>、</w:t>
            </w:r>
            <w:r>
              <w:t>市级</w:t>
            </w:r>
          </w:p>
        </w:tc>
        <w:tc>
          <w:tcPr>
            <w:tcW w:w="933"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4.0分</w:t>
            </w:r>
          </w:p>
        </w:tc>
        <w:tc>
          <w:tcPr>
            <w:tcW w:w="1908"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3.8</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3.6</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3.4</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3.2</w:t>
            </w:r>
            <w: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校级</w:t>
            </w:r>
          </w:p>
        </w:tc>
        <w:tc>
          <w:tcPr>
            <w:tcW w:w="933"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2.0分</w:t>
            </w:r>
          </w:p>
        </w:tc>
        <w:tc>
          <w:tcPr>
            <w:tcW w:w="1908"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1.8</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1.6</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1.4</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1.2</w:t>
            </w:r>
            <w: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shd w:val="clear" w:color="auto" w:fill="auto"/>
          </w:tcPr>
          <w:p>
            <w:r>
              <w:t>院级</w:t>
            </w:r>
          </w:p>
        </w:tc>
        <w:tc>
          <w:tcPr>
            <w:tcW w:w="933"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1.0</w:t>
            </w:r>
            <w:r>
              <w:t>分</w:t>
            </w:r>
          </w:p>
        </w:tc>
        <w:tc>
          <w:tcPr>
            <w:tcW w:w="1908"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0.8</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0.6</w:t>
            </w:r>
            <w:r>
              <w:t>分</w:t>
            </w:r>
          </w:p>
        </w:tc>
        <w:tc>
          <w:tcPr>
            <w:tcW w:w="1420"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0.4</w:t>
            </w:r>
            <w:r>
              <w:t>分</w:t>
            </w:r>
          </w:p>
        </w:tc>
        <w:tc>
          <w:tcPr>
            <w:tcW w:w="1421"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0.2</w:t>
            </w:r>
            <w:r>
              <w:t>分</w:t>
            </w:r>
          </w:p>
        </w:tc>
      </w:tr>
    </w:tbl>
    <w:p>
      <w:pPr>
        <w:spacing w:line="480" w:lineRule="exact"/>
        <w:rPr>
          <w:rFonts w:ascii="仿宋_GB2312" w:hAnsi="仿宋_GB2312" w:eastAsia="仿宋_GB2312" w:cs="仿宋_GB2312"/>
          <w:sz w:val="24"/>
          <w:szCs w:val="24"/>
        </w:rPr>
      </w:pPr>
      <w:r>
        <w:rPr>
          <w:rFonts w:hint="eastAsia" w:ascii="仿宋_GB2312" w:eastAsia="仿宋_GB2312"/>
          <w:color w:val="000000"/>
          <w:sz w:val="24"/>
          <w:szCs w:val="24"/>
          <w:shd w:val="clear" w:color="auto" w:fill="FFFFFF"/>
        </w:rPr>
        <w:t>（跨班级组队的按照本班参加人数占队伍总人数的比例进行加分，无等级或前三名以外的奖状记为同等级的优秀奖）</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3）专业学术论文发表，一篇为班级加2分</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b/>
          <w:bCs/>
          <w:sz w:val="24"/>
          <w:szCs w:val="24"/>
        </w:rPr>
        <w:t xml:space="preserve">  注：加分上限为5分。</w:t>
      </w:r>
    </w:p>
    <w:p>
      <w:pPr>
        <w:spacing w:line="48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8、科创活动参与分（5分）</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挑战杯、、创新立项（14、15级）实验技能大赛（16级）【14、15级不予计分】等科创活动以各项参与人数总和的比例计算，最高不超过5分(注：创新立项参与</w:t>
      </w:r>
      <w:r>
        <w:rPr>
          <w:rFonts w:hint="eastAsia" w:ascii="仿宋_GB2312" w:hAnsi="仿宋_GB2312" w:eastAsia="仿宋_GB2312" w:cs="仿宋_GB2312"/>
          <w:sz w:val="24"/>
          <w:szCs w:val="24"/>
          <w:lang w:val="en-US" w:eastAsia="zh-CN"/>
        </w:rPr>
        <w:t>但</w:t>
      </w:r>
      <w:r>
        <w:rPr>
          <w:rFonts w:hint="eastAsia" w:ascii="仿宋_GB2312" w:hAnsi="仿宋_GB2312" w:eastAsia="仿宋_GB2312" w:cs="仿宋_GB2312"/>
          <w:sz w:val="24"/>
          <w:szCs w:val="24"/>
        </w:rPr>
        <w:t>未立</w:t>
      </w:r>
      <w:bookmarkStart w:id="0" w:name="_GoBack"/>
      <w:bookmarkEnd w:id="0"/>
      <w:r>
        <w:rPr>
          <w:rFonts w:hint="eastAsia" w:ascii="仿宋_GB2312" w:hAnsi="仿宋_GB2312" w:eastAsia="仿宋_GB2312" w:cs="仿宋_GB2312"/>
          <w:sz w:val="24"/>
          <w:szCs w:val="24"/>
        </w:rPr>
        <w:t>项的不予加分)</w:t>
      </w:r>
    </w:p>
    <w:p>
      <w:pPr>
        <w:spacing w:line="480" w:lineRule="exact"/>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获得国家级立项的按照1:1.8人次计入、省级立项的按照1:1.5人次计入、校级立项的按照1:1.2人次计入，实验技能大赛及其他按照1:1人次计入</w:t>
      </w:r>
    </w:p>
    <w:p>
      <w:pPr>
        <w:spacing w:line="48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9、结果验收（评选方式为PPT汇报展示）（20分）</w:t>
      </w:r>
    </w:p>
    <w:p>
      <w:pPr>
        <w:pStyle w:val="6"/>
        <w:spacing w:line="480" w:lineRule="exact"/>
        <w:ind w:firstLine="0" w:firstLineChars="0"/>
        <w:rPr>
          <w:rFonts w:ascii="仿宋_GB2312" w:hAnsi="仿宋_GB2312" w:eastAsia="仿宋_GB2312" w:cs="仿宋_GB2312"/>
          <w:sz w:val="24"/>
        </w:rPr>
      </w:pPr>
      <w:r>
        <w:rPr>
          <w:rFonts w:hint="eastAsia" w:ascii="仿宋_GB2312" w:hAnsi="仿宋_GB2312" w:eastAsia="仿宋_GB2312" w:cs="仿宋_GB2312"/>
          <w:sz w:val="24"/>
        </w:rPr>
        <w:t>（1）报告以word形式呈现（10分），在报告中应该呈现出以下几个方面：</w:t>
      </w:r>
    </w:p>
    <w:p>
      <w:pPr>
        <w:pStyle w:val="6"/>
        <w:spacing w:line="480" w:lineRule="exact"/>
        <w:ind w:firstLine="480"/>
        <w:rPr>
          <w:rFonts w:ascii="仿宋_GB2312" w:hAnsi="仿宋_GB2312" w:eastAsia="仿宋_GB2312" w:cs="仿宋_GB2312"/>
          <w:sz w:val="24"/>
        </w:rPr>
      </w:pPr>
      <w:r>
        <w:rPr>
          <w:rFonts w:hint="eastAsia" w:ascii="仿宋_GB2312" w:hAnsi="仿宋_GB2312" w:eastAsia="仿宋_GB2312" w:cs="仿宋_GB2312"/>
          <w:sz w:val="24"/>
        </w:rPr>
        <w:t>a、活动的前景，活动准备工作【16级以班级学风调研情况为主】（1分）</w:t>
      </w:r>
    </w:p>
    <w:p>
      <w:pPr>
        <w:spacing w:line="48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b、活动的实行情况（包括照片）以及成果（4分）</w:t>
      </w:r>
    </w:p>
    <w:p>
      <w:pPr>
        <w:pStyle w:val="6"/>
        <w:spacing w:line="480" w:lineRule="exact"/>
        <w:ind w:firstLine="480"/>
        <w:rPr>
          <w:rFonts w:ascii="仿宋_GB2312" w:hAnsi="仿宋_GB2312" w:eastAsia="仿宋_GB2312" w:cs="仿宋_GB2312"/>
          <w:sz w:val="24"/>
        </w:rPr>
      </w:pPr>
      <w:r>
        <w:rPr>
          <w:rFonts w:hint="eastAsia" w:ascii="仿宋_GB2312" w:hAnsi="仿宋_GB2312" w:eastAsia="仿宋_GB2312" w:cs="仿宋_GB2312"/>
          <w:sz w:val="24"/>
        </w:rPr>
        <w:t>c、活动遇到的问题以及分析（2分）</w:t>
      </w:r>
    </w:p>
    <w:p>
      <w:pPr>
        <w:pStyle w:val="6"/>
        <w:spacing w:line="480" w:lineRule="exact"/>
        <w:ind w:firstLine="480"/>
        <w:rPr>
          <w:rFonts w:ascii="仿宋_GB2312" w:hAnsi="仿宋_GB2312" w:eastAsia="仿宋_GB2312" w:cs="仿宋_GB2312"/>
          <w:sz w:val="24"/>
        </w:rPr>
      </w:pPr>
      <w:r>
        <w:rPr>
          <w:rFonts w:hint="eastAsia" w:ascii="仿宋_GB2312" w:hAnsi="仿宋_GB2312" w:eastAsia="仿宋_GB2312" w:cs="仿宋_GB2312"/>
          <w:sz w:val="24"/>
        </w:rPr>
        <w:t>d、出现问题的解决方案（1分）</w:t>
      </w:r>
    </w:p>
    <w:p>
      <w:pPr>
        <w:pStyle w:val="6"/>
        <w:spacing w:line="480" w:lineRule="exact"/>
        <w:ind w:firstLine="480"/>
        <w:rPr>
          <w:rFonts w:ascii="仿宋_GB2312" w:hAnsi="仿宋_GB2312" w:eastAsia="仿宋_GB2312" w:cs="仿宋_GB2312"/>
          <w:sz w:val="24"/>
        </w:rPr>
      </w:pPr>
      <w:r>
        <w:rPr>
          <w:rFonts w:hint="eastAsia" w:ascii="仿宋_GB2312" w:hAnsi="仿宋_GB2312" w:eastAsia="仿宋_GB2312" w:cs="仿宋_GB2312"/>
          <w:sz w:val="24"/>
        </w:rPr>
        <w:t>e、总结这次活动所带来的体会（1分）</w:t>
      </w:r>
    </w:p>
    <w:p>
      <w:pPr>
        <w:pStyle w:val="6"/>
        <w:spacing w:line="480" w:lineRule="exact"/>
        <w:ind w:firstLine="480"/>
        <w:rPr>
          <w:rFonts w:ascii="仿宋_GB2312" w:hAnsi="仿宋_GB2312" w:eastAsia="仿宋_GB2312" w:cs="仿宋_GB2312"/>
          <w:sz w:val="24"/>
        </w:rPr>
      </w:pPr>
      <w:r>
        <w:rPr>
          <w:rFonts w:hint="eastAsia" w:ascii="仿宋_GB2312" w:hAnsi="仿宋_GB2312" w:eastAsia="仿宋_GB2312" w:cs="仿宋_GB2312"/>
          <w:sz w:val="24"/>
        </w:rPr>
        <w:t>f、实际所用的总金额（包括在学风立项中所花的经费及经费所用）（1分）</w:t>
      </w:r>
    </w:p>
    <w:p>
      <w:pPr>
        <w:pStyle w:val="6"/>
        <w:spacing w:line="480" w:lineRule="exact"/>
        <w:ind w:firstLine="0" w:firstLineChars="0"/>
        <w:rPr>
          <w:rFonts w:ascii="仿宋_GB2312" w:hAnsi="仿宋_GB2312" w:eastAsia="仿宋_GB2312" w:cs="仿宋_GB2312"/>
          <w:b/>
          <w:bCs/>
          <w:sz w:val="24"/>
        </w:rPr>
      </w:pPr>
      <w:r>
        <w:rPr>
          <w:rFonts w:hint="eastAsia" w:ascii="仿宋_GB2312" w:hAnsi="仿宋_GB2312" w:eastAsia="仿宋_GB2312" w:cs="仿宋_GB2312"/>
          <w:b/>
          <w:bCs/>
          <w:sz w:val="24"/>
        </w:rPr>
        <w:t>评分注意:</w:t>
      </w:r>
    </w:p>
    <w:p>
      <w:pPr>
        <w:spacing w:line="480" w:lineRule="exact"/>
        <w:ind w:left="420" w:leftChars="200"/>
        <w:rPr>
          <w:rFonts w:ascii="仿宋_GB2312" w:hAnsi="仿宋_GB2312" w:eastAsia="仿宋_GB2312" w:cs="仿宋_GB2312"/>
          <w:sz w:val="24"/>
          <w:szCs w:val="24"/>
        </w:rPr>
      </w:pPr>
      <w:r>
        <w:rPr>
          <w:rFonts w:hint="eastAsia" w:ascii="仿宋_GB2312" w:hAnsi="仿宋_GB2312" w:eastAsia="仿宋_GB2312" w:cs="仿宋_GB2312"/>
          <w:sz w:val="24"/>
          <w:szCs w:val="24"/>
        </w:rPr>
        <w:t>a、报告内容字数要在1000字以上（包含1000字），800-1000字扣去1分，800字以下扣去2分；</w:t>
      </w:r>
    </w:p>
    <w:p>
      <w:pPr>
        <w:spacing w:line="480" w:lineRule="exact"/>
        <w:ind w:left="420" w:leftChars="200"/>
        <w:rPr>
          <w:rFonts w:ascii="仿宋_GB2312" w:hAnsi="仿宋_GB2312" w:eastAsia="仿宋_GB2312" w:cs="仿宋_GB2312"/>
          <w:sz w:val="24"/>
          <w:szCs w:val="24"/>
        </w:rPr>
      </w:pPr>
      <w:r>
        <w:rPr>
          <w:rFonts w:hint="eastAsia" w:ascii="仿宋_GB2312" w:hAnsi="仿宋_GB2312" w:eastAsia="仿宋_GB2312" w:cs="仿宋_GB2312"/>
          <w:sz w:val="24"/>
          <w:szCs w:val="24"/>
        </w:rPr>
        <w:t>b、报告内容要丰富，叙述要流利通畅，否则相应扣去1分；</w:t>
      </w:r>
    </w:p>
    <w:p>
      <w:pPr>
        <w:spacing w:line="480" w:lineRule="exact"/>
        <w:ind w:left="420" w:leftChars="200"/>
        <w:rPr>
          <w:rFonts w:ascii="仿宋_GB2312" w:hAnsi="仿宋_GB2312" w:eastAsia="仿宋_GB2312" w:cs="仿宋_GB2312"/>
          <w:sz w:val="24"/>
          <w:szCs w:val="24"/>
        </w:rPr>
      </w:pPr>
      <w:r>
        <w:rPr>
          <w:rFonts w:hint="eastAsia" w:ascii="仿宋_GB2312" w:hAnsi="仿宋_GB2312" w:eastAsia="仿宋_GB2312" w:cs="仿宋_GB2312"/>
          <w:sz w:val="24"/>
          <w:szCs w:val="24"/>
        </w:rPr>
        <w:t>c、报告过程中学委态度要端正，认真书写报告，否则相应扣2分；</w:t>
      </w:r>
    </w:p>
    <w:p>
      <w:pPr>
        <w:spacing w:line="480" w:lineRule="exact"/>
        <w:ind w:left="420" w:leftChars="200"/>
        <w:rPr>
          <w:rFonts w:ascii="仿宋_GB2312" w:hAnsi="仿宋_GB2312" w:eastAsia="仿宋_GB2312" w:cs="仿宋_GB2312"/>
          <w:sz w:val="24"/>
          <w:szCs w:val="24"/>
        </w:rPr>
      </w:pPr>
      <w:r>
        <w:rPr>
          <w:rFonts w:hint="eastAsia" w:ascii="仿宋_GB2312" w:hAnsi="仿宋_GB2312" w:eastAsia="仿宋_GB2312" w:cs="仿宋_GB2312"/>
          <w:sz w:val="24"/>
          <w:szCs w:val="24"/>
        </w:rPr>
        <w:t>d、报告中要有图片体现活动进展，否则相应扣去2分；</w:t>
      </w:r>
    </w:p>
    <w:p>
      <w:pPr>
        <w:spacing w:line="480" w:lineRule="exact"/>
        <w:ind w:left="420" w:leftChars="200"/>
        <w:rPr>
          <w:rFonts w:ascii="仿宋_GB2312" w:hAnsi="仿宋_GB2312" w:eastAsia="仿宋_GB2312" w:cs="仿宋_GB2312"/>
          <w:sz w:val="24"/>
          <w:szCs w:val="24"/>
        </w:rPr>
      </w:pPr>
      <w:r>
        <w:rPr>
          <w:rFonts w:hint="eastAsia" w:ascii="仿宋_GB2312" w:hAnsi="仿宋_GB2312" w:eastAsia="仿宋_GB2312" w:cs="仿宋_GB2312"/>
          <w:sz w:val="24"/>
          <w:szCs w:val="24"/>
        </w:rPr>
        <w:t>e、报告中要进行合理的原因分析，否则相应扣掉2分；</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（2）PPT进行成果展示，包括现场演讲、PPT展示、评委问答环节（PPT包括文字内容和照片，有视频更好），时间控制在7分钟之内。由评委老师通过汇报人的表现进行现场打分。（10分）</w:t>
      </w:r>
    </w:p>
    <w:tbl>
      <w:tblPr>
        <w:tblStyle w:val="4"/>
        <w:tblpPr w:leftFromText="180" w:rightFromText="180" w:vertAnchor="text" w:horzAnchor="page" w:tblpX="1717" w:tblpY="349"/>
        <w:tblOverlap w:val="never"/>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2232"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评分要点</w:t>
            </w:r>
          </w:p>
        </w:tc>
        <w:tc>
          <w:tcPr>
            <w:tcW w:w="7088"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具体描述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6" w:hRule="atLeast"/>
        </w:trPr>
        <w:tc>
          <w:tcPr>
            <w:tcW w:w="2232"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汇报时间（2分）</w:t>
            </w:r>
          </w:p>
        </w:tc>
        <w:tc>
          <w:tcPr>
            <w:tcW w:w="7088" w:type="dxa"/>
          </w:tcPr>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超时半分钟扣去1分，超时一分钟以上扣2分；</w:t>
            </w:r>
          </w:p>
          <w:p>
            <w:pPr>
              <w:spacing w:line="480" w:lineRule="exact"/>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trPr>
        <w:tc>
          <w:tcPr>
            <w:tcW w:w="2232"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内容</w:t>
            </w:r>
          </w:p>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（5分）</w:t>
            </w:r>
          </w:p>
        </w:tc>
        <w:tc>
          <w:tcPr>
            <w:tcW w:w="7088" w:type="dxa"/>
          </w:tcPr>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1、展示的活动内容需与本班学风建设的主题相吻合（1分）</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2、能够体现出活动的内容（1分）</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3、能够清楚明了地突出活动的意义和结果（1分）</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4、能够体现活动中所遇到的问题、分析及解决方案（1.5分）</w:t>
            </w:r>
          </w:p>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5、PPT设计精巧，重点突出，简明扼要（0.5分）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2232"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陈述过程</w:t>
            </w:r>
          </w:p>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（2分）</w:t>
            </w:r>
          </w:p>
          <w:p>
            <w:pPr>
              <w:spacing w:line="480" w:lineRule="exact"/>
              <w:jc w:val="center"/>
              <w:rPr>
                <w:rFonts w:ascii="仿宋_GB2312" w:hAnsi="仿宋_GB2312" w:eastAsia="仿宋_GB2312" w:cs="仿宋_GB2312"/>
                <w:sz w:val="24"/>
                <w:szCs w:val="24"/>
              </w:rPr>
            </w:pPr>
          </w:p>
        </w:tc>
        <w:tc>
          <w:tcPr>
            <w:tcW w:w="7088" w:type="dxa"/>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1、整体设计合理、条理清晰、详略得当、重点突出，层次分明（1分）</w:t>
            </w:r>
          </w:p>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2、表达自然、流畅，语句通顺、措辞恰当，语言组织流畅（1分）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2" w:hRule="atLeast"/>
        </w:trPr>
        <w:tc>
          <w:tcPr>
            <w:tcW w:w="2232" w:type="dxa"/>
            <w:vAlign w:val="center"/>
          </w:tcPr>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基本素养</w:t>
            </w:r>
          </w:p>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（1分）</w:t>
            </w:r>
          </w:p>
          <w:p>
            <w:pPr>
              <w:spacing w:line="480" w:lineRule="exact"/>
              <w:jc w:val="center"/>
              <w:rPr>
                <w:rFonts w:ascii="仿宋_GB2312" w:hAnsi="仿宋_GB2312" w:eastAsia="仿宋_GB2312" w:cs="仿宋_GB2312"/>
                <w:sz w:val="24"/>
                <w:szCs w:val="24"/>
              </w:rPr>
            </w:pPr>
          </w:p>
        </w:tc>
        <w:tc>
          <w:tcPr>
            <w:tcW w:w="7088" w:type="dxa"/>
          </w:tcPr>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1、衣着发型整洁、得体，仪表端庄稳重，行为大方、自然（0.5分）</w:t>
            </w:r>
          </w:p>
          <w:p>
            <w:pPr>
              <w:spacing w:line="48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2、精神饱满，有信心，能充分展现大学生朝气蓬勃的精神风貌（0.5分）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EC530B"/>
    <w:multiLevelType w:val="singleLevel"/>
    <w:tmpl w:val="55EC530B"/>
    <w:lvl w:ilvl="0" w:tentative="0">
      <w:start w:val="1"/>
      <w:numFmt w:val="upperLetter"/>
      <w:suff w:val="nothing"/>
      <w:lvlText w:val="%1."/>
      <w:lvlJc w:val="left"/>
    </w:lvl>
  </w:abstractNum>
  <w:abstractNum w:abstractNumId="1">
    <w:nsid w:val="55EC5319"/>
    <w:multiLevelType w:val="singleLevel"/>
    <w:tmpl w:val="55EC5319"/>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EB17C1"/>
    <w:rsid w:val="00045915"/>
    <w:rsid w:val="00223325"/>
    <w:rsid w:val="004A3412"/>
    <w:rsid w:val="20EB17C1"/>
    <w:rsid w:val="27B6029D"/>
    <w:rsid w:val="2E5B7B47"/>
    <w:rsid w:val="383E1F9E"/>
    <w:rsid w:val="3D8C596E"/>
    <w:rsid w:val="484662BF"/>
    <w:rsid w:val="5A29762B"/>
    <w:rsid w:val="5E8B2BF1"/>
    <w:rsid w:val="61BD7FD8"/>
    <w:rsid w:val="7E0F641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列出段落1"/>
    <w:basedOn w:val="1"/>
    <w:qFormat/>
    <w:uiPriority w:val="0"/>
    <w:pPr>
      <w:ind w:firstLine="420" w:firstLineChars="200"/>
    </w:pPr>
    <w:rPr>
      <w:rFonts w:ascii="Times New Roman" w:hAnsi="Times New Roman" w:eastAsia="宋体"/>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548</Words>
  <Characters>3125</Characters>
  <Lines>26</Lines>
  <Paragraphs>7</Paragraphs>
  <TotalTime>0</TotalTime>
  <ScaleCrop>false</ScaleCrop>
  <LinksUpToDate>false</LinksUpToDate>
  <CharactersWithSpaces>3666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2016-10-16T15:25:00Z</dcterms:created>
  <dc:creator>chengxi</dc:creator>
  <cp:lastModifiedBy>chengxi</cp:lastModifiedBy>
  <dcterms:modified xsi:type="dcterms:W3CDTF">2016-10-17T15:35:54Z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