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text" w:horzAnchor="page" w:tblpXSpec="center" w:tblpY="1049"/>
        <w:tblOverlap w:val="never"/>
        <w:tblW w:w="11100" w:type="dxa"/>
        <w:jc w:val="center"/>
        <w:tblLayout w:type="fixed"/>
        <w:tblLook w:val="04A0" w:firstRow="1" w:lastRow="0" w:firstColumn="1" w:lastColumn="0" w:noHBand="0" w:noVBand="1"/>
      </w:tblPr>
      <w:tblGrid>
        <w:gridCol w:w="2899"/>
        <w:gridCol w:w="8201"/>
      </w:tblGrid>
      <w:tr w:rsidR="003D1E29">
        <w:trPr>
          <w:trHeight w:val="643"/>
          <w:jc w:val="center"/>
        </w:trPr>
        <w:tc>
          <w:tcPr>
            <w:tcW w:w="2899" w:type="dxa"/>
          </w:tcPr>
          <w:p w:rsidR="003D1E29" w:rsidRDefault="00D54677">
            <w:pPr>
              <w:widowControl/>
              <w:jc w:val="center"/>
              <w:textAlignment w:val="center"/>
              <w:rPr>
                <w:rFonts w:ascii="仿宋_GB2312" w:eastAsia="仿宋_GB2312" w:hAnsi="仿宋_GB2312" w:cs="仿宋_GB2312"/>
                <w:b/>
                <w:color w:val="000000"/>
                <w:sz w:val="28"/>
                <w:szCs w:val="28"/>
              </w:rPr>
            </w:pPr>
            <w:r>
              <w:rPr>
                <w:rFonts w:ascii="仿宋_GB2312" w:eastAsia="仿宋_GB2312" w:hAnsi="仿宋_GB2312" w:cs="仿宋_GB2312" w:hint="eastAsia"/>
                <w:b/>
                <w:bCs/>
                <w:color w:val="000000"/>
                <w:kern w:val="0"/>
                <w:sz w:val="28"/>
                <w:szCs w:val="28"/>
                <w:lang w:bidi="ar"/>
              </w:rPr>
              <w:t>评分项目</w:t>
            </w:r>
          </w:p>
        </w:tc>
        <w:tc>
          <w:tcPr>
            <w:tcW w:w="8201" w:type="dxa"/>
          </w:tcPr>
          <w:p w:rsidR="003D1E29" w:rsidRDefault="00D54677">
            <w:pPr>
              <w:widowControl/>
              <w:jc w:val="center"/>
              <w:textAlignment w:val="center"/>
              <w:rPr>
                <w:rFonts w:ascii="仿宋_GB2312" w:eastAsia="仿宋_GB2312" w:hAnsi="仿宋_GB2312" w:cs="仿宋_GB2312"/>
                <w:b/>
                <w:color w:val="000000"/>
                <w:sz w:val="28"/>
                <w:szCs w:val="28"/>
              </w:rPr>
            </w:pPr>
            <w:r>
              <w:rPr>
                <w:rFonts w:ascii="仿宋_GB2312" w:eastAsia="仿宋_GB2312" w:hAnsi="仿宋_GB2312" w:cs="仿宋_GB2312" w:hint="eastAsia"/>
                <w:b/>
                <w:bCs/>
                <w:color w:val="000000"/>
                <w:kern w:val="0"/>
                <w:sz w:val="28"/>
                <w:szCs w:val="28"/>
                <w:lang w:bidi="ar"/>
              </w:rPr>
              <w:t>评分标准</w:t>
            </w:r>
          </w:p>
        </w:tc>
      </w:tr>
      <w:tr w:rsidR="003D1E29">
        <w:trPr>
          <w:trHeight w:val="643"/>
          <w:jc w:val="center"/>
        </w:trPr>
        <w:tc>
          <w:tcPr>
            <w:tcW w:w="2899" w:type="dxa"/>
            <w:shd w:val="clear" w:color="auto" w:fill="auto"/>
          </w:tcPr>
          <w:p w:rsidR="003D1E29" w:rsidRDefault="00D54677">
            <w:pPr>
              <w:widowControl/>
              <w:jc w:val="center"/>
              <w:textAlignment w:val="center"/>
              <w:rPr>
                <w:rFonts w:ascii="仿宋_GB2312" w:eastAsia="仿宋_GB2312" w:hAnsi="仿宋_GB2312" w:cs="仿宋_GB2312"/>
                <w:b/>
                <w:color w:val="000000"/>
                <w:sz w:val="28"/>
                <w:szCs w:val="28"/>
              </w:rPr>
            </w:pPr>
            <w:bookmarkStart w:id="0" w:name="_GoBack" w:colFirst="1" w:colLast="1"/>
            <w:r>
              <w:rPr>
                <w:rFonts w:ascii="仿宋_GB2312" w:eastAsia="仿宋_GB2312" w:hAnsi="仿宋_GB2312" w:cs="仿宋_GB2312" w:hint="eastAsia"/>
                <w:b/>
                <w:bCs/>
                <w:color w:val="000000"/>
                <w:kern w:val="0"/>
                <w:sz w:val="28"/>
                <w:szCs w:val="28"/>
                <w:lang w:bidi="ar"/>
              </w:rPr>
              <w:t>基本格式（</w:t>
            </w:r>
            <w:r>
              <w:rPr>
                <w:rFonts w:ascii="仿宋_GB2312" w:eastAsia="仿宋_GB2312" w:hAnsi="仿宋_GB2312" w:cs="仿宋_GB2312" w:hint="eastAsia"/>
                <w:b/>
                <w:bCs/>
                <w:color w:val="000000"/>
                <w:kern w:val="0"/>
                <w:sz w:val="28"/>
                <w:szCs w:val="28"/>
                <w:lang w:bidi="ar"/>
              </w:rPr>
              <w:t>5</w:t>
            </w:r>
            <w:r>
              <w:rPr>
                <w:rFonts w:ascii="仿宋_GB2312" w:eastAsia="仿宋_GB2312" w:hAnsi="仿宋_GB2312" w:cs="仿宋_GB2312" w:hint="eastAsia"/>
                <w:b/>
                <w:bCs/>
                <w:color w:val="000000"/>
                <w:kern w:val="0"/>
                <w:sz w:val="28"/>
                <w:szCs w:val="28"/>
                <w:lang w:bidi="ar"/>
              </w:rPr>
              <w:t>分）</w:t>
            </w:r>
          </w:p>
        </w:tc>
        <w:tc>
          <w:tcPr>
            <w:tcW w:w="8201" w:type="dxa"/>
            <w:shd w:val="clear" w:color="auto" w:fill="auto"/>
          </w:tcPr>
          <w:p w:rsidR="003D1E29" w:rsidRDefault="00D54677">
            <w:pPr>
              <w:widowControl/>
              <w:textAlignment w:val="center"/>
              <w:rPr>
                <w:rFonts w:ascii="仿宋_GB2312" w:eastAsia="仿宋_GB2312" w:hAnsi="仿宋_GB2312" w:cs="仿宋_GB2312"/>
                <w:b/>
                <w:color w:val="000000"/>
                <w:sz w:val="28"/>
                <w:szCs w:val="28"/>
              </w:rPr>
            </w:pPr>
            <w:r>
              <w:rPr>
                <w:rFonts w:ascii="仿宋_GB2312" w:eastAsia="仿宋_GB2312" w:hAnsi="仿宋_GB2312" w:cs="仿宋_GB2312" w:hint="eastAsia"/>
                <w:color w:val="000000"/>
                <w:kern w:val="0"/>
                <w:sz w:val="28"/>
                <w:szCs w:val="28"/>
                <w:lang w:bidi="ar"/>
              </w:rPr>
              <w:t>格式统一、条理清晰、书面排版美观</w:t>
            </w:r>
          </w:p>
        </w:tc>
      </w:tr>
      <w:bookmarkEnd w:id="0"/>
      <w:tr w:rsidR="003D1E29">
        <w:trPr>
          <w:trHeight w:val="630"/>
          <w:jc w:val="center"/>
        </w:trPr>
        <w:tc>
          <w:tcPr>
            <w:tcW w:w="2899" w:type="dxa"/>
            <w:shd w:val="clear" w:color="auto" w:fill="auto"/>
          </w:tcPr>
          <w:p w:rsidR="003D1E29" w:rsidRDefault="00D54677">
            <w:pPr>
              <w:widowControl/>
              <w:jc w:val="center"/>
              <w:textAlignment w:val="center"/>
              <w:rPr>
                <w:rFonts w:ascii="仿宋_GB2312" w:eastAsia="仿宋_GB2312" w:hAnsi="仿宋_GB2312" w:cs="仿宋_GB2312"/>
                <w:b/>
                <w:bCs/>
                <w:color w:val="000000"/>
                <w:kern w:val="0"/>
                <w:sz w:val="28"/>
                <w:szCs w:val="28"/>
                <w:lang w:bidi="ar"/>
              </w:rPr>
            </w:pPr>
            <w:r>
              <w:rPr>
                <w:rFonts w:ascii="仿宋_GB2312" w:eastAsia="仿宋_GB2312" w:hAnsi="仿宋_GB2312" w:cs="仿宋_GB2312" w:hint="eastAsia"/>
                <w:b/>
                <w:bCs/>
                <w:color w:val="000000"/>
                <w:kern w:val="0"/>
                <w:sz w:val="28"/>
                <w:szCs w:val="28"/>
                <w:lang w:bidi="ar"/>
              </w:rPr>
              <w:t>策划主题（</w:t>
            </w:r>
            <w:r>
              <w:rPr>
                <w:rFonts w:ascii="仿宋_GB2312" w:eastAsia="仿宋_GB2312" w:hAnsi="仿宋_GB2312" w:cs="仿宋_GB2312" w:hint="eastAsia"/>
                <w:b/>
                <w:bCs/>
                <w:color w:val="000000"/>
                <w:kern w:val="0"/>
                <w:sz w:val="28"/>
                <w:szCs w:val="28"/>
                <w:lang w:bidi="ar"/>
              </w:rPr>
              <w:t>5</w:t>
            </w:r>
            <w:r>
              <w:rPr>
                <w:rFonts w:ascii="仿宋_GB2312" w:eastAsia="仿宋_GB2312" w:hAnsi="仿宋_GB2312" w:cs="仿宋_GB2312" w:hint="eastAsia"/>
                <w:b/>
                <w:bCs/>
                <w:color w:val="000000"/>
                <w:kern w:val="0"/>
                <w:sz w:val="28"/>
                <w:szCs w:val="28"/>
                <w:lang w:bidi="ar"/>
              </w:rPr>
              <w:t>分）</w:t>
            </w:r>
          </w:p>
        </w:tc>
        <w:tc>
          <w:tcPr>
            <w:tcW w:w="8201" w:type="dxa"/>
            <w:shd w:val="clear" w:color="auto" w:fill="auto"/>
          </w:tcPr>
          <w:p w:rsidR="003D1E29" w:rsidRDefault="00D54677">
            <w:pPr>
              <w:widowControl/>
              <w:textAlignment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主题鲜明、紧扣“学风建设”立项活动目的。</w:t>
            </w:r>
          </w:p>
        </w:tc>
      </w:tr>
      <w:tr w:rsidR="003D1E29">
        <w:trPr>
          <w:trHeight w:val="4380"/>
          <w:jc w:val="center"/>
        </w:trPr>
        <w:tc>
          <w:tcPr>
            <w:tcW w:w="2899" w:type="dxa"/>
            <w:shd w:val="clear" w:color="auto" w:fill="auto"/>
          </w:tcPr>
          <w:p w:rsidR="003D1E29" w:rsidRDefault="00D54677">
            <w:pPr>
              <w:widowControl/>
              <w:jc w:val="center"/>
              <w:textAlignment w:val="center"/>
              <w:rPr>
                <w:rFonts w:ascii="仿宋_GB2312" w:eastAsia="仿宋_GB2312" w:hAnsi="仿宋_GB2312" w:cs="仿宋_GB2312"/>
                <w:b/>
                <w:color w:val="000000"/>
                <w:sz w:val="28"/>
                <w:szCs w:val="28"/>
              </w:rPr>
            </w:pPr>
            <w:r>
              <w:rPr>
                <w:rFonts w:ascii="仿宋_GB2312" w:eastAsia="仿宋_GB2312" w:hAnsi="仿宋_GB2312" w:cs="仿宋_GB2312" w:hint="eastAsia"/>
                <w:b/>
                <w:bCs/>
                <w:color w:val="000000"/>
                <w:kern w:val="0"/>
                <w:sz w:val="28"/>
                <w:szCs w:val="28"/>
                <w:lang w:bidi="ar"/>
              </w:rPr>
              <w:t>策划方案（</w:t>
            </w:r>
            <w:r>
              <w:rPr>
                <w:rFonts w:ascii="仿宋_GB2312" w:eastAsia="仿宋_GB2312" w:hAnsi="仿宋_GB2312" w:cs="仿宋_GB2312" w:hint="eastAsia"/>
                <w:b/>
                <w:bCs/>
                <w:color w:val="000000"/>
                <w:kern w:val="0"/>
                <w:sz w:val="28"/>
                <w:szCs w:val="28"/>
                <w:lang w:bidi="ar"/>
              </w:rPr>
              <w:t>30</w:t>
            </w:r>
            <w:r>
              <w:rPr>
                <w:rFonts w:ascii="仿宋_GB2312" w:eastAsia="仿宋_GB2312" w:hAnsi="仿宋_GB2312" w:cs="仿宋_GB2312" w:hint="eastAsia"/>
                <w:b/>
                <w:bCs/>
                <w:color w:val="000000"/>
                <w:kern w:val="0"/>
                <w:sz w:val="28"/>
                <w:szCs w:val="28"/>
                <w:lang w:bidi="ar"/>
              </w:rPr>
              <w:t>分）</w:t>
            </w:r>
          </w:p>
        </w:tc>
        <w:tc>
          <w:tcPr>
            <w:tcW w:w="8201" w:type="dxa"/>
            <w:shd w:val="clear" w:color="auto" w:fill="auto"/>
          </w:tcPr>
          <w:p w:rsidR="003D1E29" w:rsidRDefault="00D54677">
            <w:pPr>
              <w:widowControl/>
              <w:numPr>
                <w:ilvl w:val="0"/>
                <w:numId w:val="1"/>
              </w:numPr>
              <w:textAlignment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活动策划方案的组织实施细则详细，周密，有条理（</w:t>
            </w:r>
            <w:r>
              <w:rPr>
                <w:rFonts w:ascii="仿宋_GB2312" w:eastAsia="仿宋_GB2312" w:hAnsi="仿宋_GB2312" w:cs="仿宋_GB2312" w:hint="eastAsia"/>
                <w:color w:val="000000"/>
                <w:kern w:val="0"/>
                <w:sz w:val="28"/>
                <w:szCs w:val="28"/>
                <w:lang w:bidi="ar"/>
              </w:rPr>
              <w:t>5</w:t>
            </w:r>
            <w:r>
              <w:rPr>
                <w:rFonts w:ascii="仿宋_GB2312" w:eastAsia="仿宋_GB2312" w:hAnsi="仿宋_GB2312" w:cs="仿宋_GB2312" w:hint="eastAsia"/>
                <w:color w:val="000000"/>
                <w:kern w:val="0"/>
                <w:sz w:val="28"/>
                <w:szCs w:val="28"/>
                <w:lang w:bidi="ar"/>
              </w:rPr>
              <w:t>分）</w:t>
            </w:r>
          </w:p>
          <w:p w:rsidR="003D1E29" w:rsidRDefault="00D54677">
            <w:pPr>
              <w:widowControl/>
              <w:numPr>
                <w:ilvl w:val="0"/>
                <w:numId w:val="1"/>
              </w:numPr>
              <w:textAlignment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活动内容要符合本班主题，围绕主题展开（</w:t>
            </w:r>
            <w:r>
              <w:rPr>
                <w:rFonts w:ascii="仿宋_GB2312" w:eastAsia="仿宋_GB2312" w:hAnsi="仿宋_GB2312" w:cs="仿宋_GB2312" w:hint="eastAsia"/>
                <w:color w:val="000000"/>
                <w:kern w:val="0"/>
                <w:sz w:val="28"/>
                <w:szCs w:val="28"/>
                <w:lang w:bidi="ar"/>
              </w:rPr>
              <w:t>5</w:t>
            </w:r>
            <w:r>
              <w:rPr>
                <w:rFonts w:ascii="仿宋_GB2312" w:eastAsia="仿宋_GB2312" w:hAnsi="仿宋_GB2312" w:cs="仿宋_GB2312" w:hint="eastAsia"/>
                <w:color w:val="000000"/>
                <w:kern w:val="0"/>
                <w:sz w:val="28"/>
                <w:szCs w:val="28"/>
                <w:lang w:bidi="ar"/>
              </w:rPr>
              <w:t>分）</w:t>
            </w:r>
          </w:p>
          <w:p w:rsidR="003D1E29" w:rsidRDefault="00D54677">
            <w:pPr>
              <w:widowControl/>
              <w:numPr>
                <w:ilvl w:val="0"/>
                <w:numId w:val="1"/>
              </w:numPr>
              <w:textAlignment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对班级学习委员有明确的定位以及对班级学风建设的目的及意义有较为清楚的认识（</w:t>
            </w:r>
            <w:r>
              <w:rPr>
                <w:rFonts w:ascii="仿宋_GB2312" w:eastAsia="仿宋_GB2312" w:hAnsi="仿宋_GB2312" w:cs="仿宋_GB2312" w:hint="eastAsia"/>
                <w:color w:val="000000"/>
                <w:kern w:val="0"/>
                <w:sz w:val="28"/>
                <w:szCs w:val="28"/>
                <w:lang w:bidi="ar"/>
              </w:rPr>
              <w:t>5</w:t>
            </w:r>
            <w:r>
              <w:rPr>
                <w:rFonts w:ascii="仿宋_GB2312" w:eastAsia="仿宋_GB2312" w:hAnsi="仿宋_GB2312" w:cs="仿宋_GB2312" w:hint="eastAsia"/>
                <w:color w:val="000000"/>
                <w:kern w:val="0"/>
                <w:sz w:val="28"/>
                <w:szCs w:val="28"/>
                <w:lang w:bidi="ar"/>
              </w:rPr>
              <w:t>分）</w:t>
            </w:r>
            <w:r>
              <w:rPr>
                <w:rFonts w:ascii="仿宋_GB2312" w:eastAsia="仿宋_GB2312" w:hAnsi="仿宋_GB2312" w:cs="仿宋_GB2312" w:hint="eastAsia"/>
                <w:color w:val="000000"/>
                <w:kern w:val="0"/>
                <w:sz w:val="28"/>
                <w:szCs w:val="28"/>
                <w:lang w:bidi="ar"/>
              </w:rPr>
              <w:br/>
              <w:t>4</w:t>
            </w:r>
            <w:r>
              <w:rPr>
                <w:rFonts w:ascii="仿宋_GB2312" w:eastAsia="仿宋_GB2312" w:hAnsi="仿宋_GB2312" w:cs="仿宋_GB2312" w:hint="eastAsia"/>
                <w:color w:val="000000"/>
                <w:kern w:val="0"/>
                <w:sz w:val="28"/>
                <w:szCs w:val="28"/>
                <w:lang w:bidi="ar"/>
              </w:rPr>
              <w:t>、方案结合班级的实际情况。（</w:t>
            </w:r>
            <w:r>
              <w:rPr>
                <w:rFonts w:ascii="仿宋_GB2312" w:eastAsia="仿宋_GB2312" w:hAnsi="仿宋_GB2312" w:cs="仿宋_GB2312" w:hint="eastAsia"/>
                <w:color w:val="000000"/>
                <w:kern w:val="0"/>
                <w:sz w:val="28"/>
                <w:szCs w:val="28"/>
                <w:lang w:bidi="ar"/>
              </w:rPr>
              <w:t>16</w:t>
            </w:r>
            <w:r>
              <w:rPr>
                <w:rFonts w:ascii="仿宋_GB2312" w:eastAsia="仿宋_GB2312" w:hAnsi="仿宋_GB2312" w:cs="仿宋_GB2312" w:hint="eastAsia"/>
                <w:color w:val="000000"/>
                <w:kern w:val="0"/>
                <w:sz w:val="28"/>
                <w:szCs w:val="28"/>
                <w:lang w:bidi="ar"/>
              </w:rPr>
              <w:t>级着重于体现有对班里同学关于学风立项的意见调研并作分析）（</w:t>
            </w:r>
            <w:r>
              <w:rPr>
                <w:rFonts w:ascii="仿宋_GB2312" w:eastAsia="仿宋_GB2312" w:hAnsi="仿宋_GB2312" w:cs="仿宋_GB2312" w:hint="eastAsia"/>
                <w:color w:val="000000"/>
                <w:kern w:val="0"/>
                <w:sz w:val="28"/>
                <w:szCs w:val="28"/>
                <w:lang w:bidi="ar"/>
              </w:rPr>
              <w:t>10</w:t>
            </w:r>
            <w:r>
              <w:rPr>
                <w:rFonts w:ascii="仿宋_GB2312" w:eastAsia="仿宋_GB2312" w:hAnsi="仿宋_GB2312" w:cs="仿宋_GB2312" w:hint="eastAsia"/>
                <w:color w:val="000000"/>
                <w:kern w:val="0"/>
                <w:sz w:val="28"/>
                <w:szCs w:val="28"/>
                <w:lang w:bidi="ar"/>
              </w:rPr>
              <w:t>分）</w:t>
            </w:r>
          </w:p>
          <w:p w:rsidR="003D1E29" w:rsidRDefault="00D54677">
            <w:pPr>
              <w:widowControl/>
              <w:textAlignment w:val="center"/>
              <w:rPr>
                <w:rFonts w:ascii="仿宋_GB2312" w:eastAsia="仿宋_GB2312" w:hAnsi="仿宋_GB2312" w:cs="仿宋_GB2312"/>
                <w:b/>
                <w:color w:val="000000"/>
                <w:sz w:val="28"/>
                <w:szCs w:val="28"/>
              </w:rPr>
            </w:pPr>
            <w:r>
              <w:rPr>
                <w:rFonts w:ascii="仿宋_GB2312" w:eastAsia="仿宋_GB2312" w:hAnsi="仿宋_GB2312" w:cs="仿宋_GB2312" w:hint="eastAsia"/>
                <w:color w:val="000000"/>
                <w:kern w:val="0"/>
                <w:sz w:val="28"/>
                <w:szCs w:val="28"/>
                <w:lang w:bidi="ar"/>
              </w:rPr>
              <w:t>5</w:t>
            </w:r>
            <w:r>
              <w:rPr>
                <w:rFonts w:ascii="仿宋_GB2312" w:eastAsia="仿宋_GB2312" w:hAnsi="仿宋_GB2312" w:cs="仿宋_GB2312" w:hint="eastAsia"/>
                <w:color w:val="000000"/>
                <w:kern w:val="0"/>
                <w:sz w:val="28"/>
                <w:szCs w:val="28"/>
                <w:lang w:bidi="ar"/>
              </w:rPr>
              <w:t>、活动具有较强的可实施性并且可以长期保持（</w:t>
            </w:r>
            <w:r>
              <w:rPr>
                <w:rFonts w:ascii="仿宋_GB2312" w:eastAsia="仿宋_GB2312" w:hAnsi="仿宋_GB2312" w:cs="仿宋_GB2312" w:hint="eastAsia"/>
                <w:color w:val="000000"/>
                <w:kern w:val="0"/>
                <w:sz w:val="28"/>
                <w:szCs w:val="28"/>
                <w:lang w:bidi="ar"/>
              </w:rPr>
              <w:t>5</w:t>
            </w:r>
            <w:r>
              <w:rPr>
                <w:rFonts w:ascii="仿宋_GB2312" w:eastAsia="仿宋_GB2312" w:hAnsi="仿宋_GB2312" w:cs="仿宋_GB2312" w:hint="eastAsia"/>
                <w:color w:val="000000"/>
                <w:kern w:val="0"/>
                <w:sz w:val="28"/>
                <w:szCs w:val="28"/>
                <w:lang w:bidi="ar"/>
              </w:rPr>
              <w:t>分）</w:t>
            </w:r>
          </w:p>
        </w:tc>
      </w:tr>
      <w:tr w:rsidR="003D1E29">
        <w:trPr>
          <w:trHeight w:val="5276"/>
          <w:jc w:val="center"/>
        </w:trPr>
        <w:tc>
          <w:tcPr>
            <w:tcW w:w="2899" w:type="dxa"/>
            <w:shd w:val="clear" w:color="auto" w:fill="auto"/>
          </w:tcPr>
          <w:p w:rsidR="003D1E29" w:rsidRDefault="00D54677">
            <w:pPr>
              <w:widowControl/>
              <w:jc w:val="center"/>
              <w:textAlignment w:val="center"/>
              <w:rPr>
                <w:rFonts w:ascii="仿宋_GB2312" w:eastAsia="仿宋_GB2312" w:hAnsi="仿宋_GB2312" w:cs="仿宋_GB2312"/>
                <w:b/>
                <w:bCs/>
                <w:color w:val="000000"/>
                <w:kern w:val="0"/>
                <w:sz w:val="28"/>
                <w:szCs w:val="28"/>
                <w:lang w:bidi="ar"/>
              </w:rPr>
            </w:pPr>
            <w:r>
              <w:rPr>
                <w:rFonts w:ascii="仿宋_GB2312" w:eastAsia="仿宋_GB2312" w:hAnsi="仿宋_GB2312" w:cs="仿宋_GB2312" w:hint="eastAsia"/>
                <w:b/>
                <w:bCs/>
                <w:color w:val="000000"/>
                <w:kern w:val="0"/>
                <w:sz w:val="28"/>
                <w:szCs w:val="28"/>
                <w:lang w:bidi="ar"/>
              </w:rPr>
              <w:t>策划答辩（</w:t>
            </w:r>
            <w:r>
              <w:rPr>
                <w:rFonts w:ascii="仿宋_GB2312" w:eastAsia="仿宋_GB2312" w:hAnsi="仿宋_GB2312" w:cs="仿宋_GB2312" w:hint="eastAsia"/>
                <w:b/>
                <w:bCs/>
                <w:color w:val="000000"/>
                <w:kern w:val="0"/>
                <w:sz w:val="28"/>
                <w:szCs w:val="28"/>
                <w:lang w:bidi="ar"/>
              </w:rPr>
              <w:t>60</w:t>
            </w:r>
            <w:r>
              <w:rPr>
                <w:rFonts w:ascii="仿宋_GB2312" w:eastAsia="仿宋_GB2312" w:hAnsi="仿宋_GB2312" w:cs="仿宋_GB2312" w:hint="eastAsia"/>
                <w:b/>
                <w:bCs/>
                <w:color w:val="000000"/>
                <w:kern w:val="0"/>
                <w:sz w:val="28"/>
                <w:szCs w:val="28"/>
                <w:lang w:bidi="ar"/>
              </w:rPr>
              <w:t>分）</w:t>
            </w:r>
          </w:p>
        </w:tc>
        <w:tc>
          <w:tcPr>
            <w:tcW w:w="8201" w:type="dxa"/>
            <w:shd w:val="clear" w:color="auto" w:fill="auto"/>
          </w:tcPr>
          <w:p w:rsidR="003D1E29" w:rsidRDefault="00D54677">
            <w:pPr>
              <w:widowControl/>
              <w:numPr>
                <w:ilvl w:val="0"/>
                <w:numId w:val="2"/>
              </w:numPr>
              <w:textAlignment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答辩过程中思路清晰，表达完整（</w:t>
            </w:r>
            <w:r>
              <w:rPr>
                <w:rFonts w:ascii="仿宋_GB2312" w:eastAsia="仿宋_GB2312" w:hAnsi="仿宋_GB2312" w:cs="仿宋_GB2312" w:hint="eastAsia"/>
                <w:color w:val="000000"/>
                <w:kern w:val="0"/>
                <w:sz w:val="28"/>
                <w:szCs w:val="28"/>
                <w:lang w:bidi="ar"/>
              </w:rPr>
              <w:t>5</w:t>
            </w:r>
            <w:r>
              <w:rPr>
                <w:rFonts w:ascii="仿宋_GB2312" w:eastAsia="仿宋_GB2312" w:hAnsi="仿宋_GB2312" w:cs="仿宋_GB2312" w:hint="eastAsia"/>
                <w:color w:val="000000"/>
                <w:kern w:val="0"/>
                <w:sz w:val="28"/>
                <w:szCs w:val="28"/>
                <w:lang w:bidi="ar"/>
              </w:rPr>
              <w:t>分）</w:t>
            </w:r>
          </w:p>
          <w:p w:rsidR="003D1E29" w:rsidRDefault="00D54677">
            <w:pPr>
              <w:widowControl/>
              <w:numPr>
                <w:ilvl w:val="0"/>
                <w:numId w:val="2"/>
              </w:numPr>
              <w:textAlignment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对学习委员有明确的定位，对学习委员的职责有正确的认识（</w:t>
            </w:r>
            <w:r>
              <w:rPr>
                <w:rFonts w:ascii="仿宋_GB2312" w:eastAsia="仿宋_GB2312" w:hAnsi="仿宋_GB2312" w:cs="仿宋_GB2312" w:hint="eastAsia"/>
                <w:color w:val="000000"/>
                <w:kern w:val="0"/>
                <w:sz w:val="28"/>
                <w:szCs w:val="28"/>
                <w:lang w:bidi="ar"/>
              </w:rPr>
              <w:t>5</w:t>
            </w:r>
            <w:r>
              <w:rPr>
                <w:rFonts w:ascii="仿宋_GB2312" w:eastAsia="仿宋_GB2312" w:hAnsi="仿宋_GB2312" w:cs="仿宋_GB2312" w:hint="eastAsia"/>
                <w:color w:val="000000"/>
                <w:kern w:val="0"/>
                <w:sz w:val="28"/>
                <w:szCs w:val="28"/>
                <w:lang w:bidi="ar"/>
              </w:rPr>
              <w:t>分）</w:t>
            </w:r>
          </w:p>
          <w:p w:rsidR="003D1E29" w:rsidRDefault="00D54677">
            <w:pPr>
              <w:widowControl/>
              <w:numPr>
                <w:ilvl w:val="0"/>
                <w:numId w:val="2"/>
              </w:numPr>
              <w:textAlignment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对班级学风建设活动有较为完整的规划</w:t>
            </w:r>
            <w:r>
              <w:rPr>
                <w:rFonts w:ascii="仿宋_GB2312" w:eastAsia="仿宋_GB2312" w:hAnsi="仿宋_GB2312" w:cs="仿宋_GB2312" w:hint="eastAsia"/>
                <w:color w:val="000000"/>
                <w:kern w:val="0"/>
                <w:sz w:val="28"/>
                <w:szCs w:val="28"/>
                <w:lang w:bidi="ar"/>
              </w:rPr>
              <w:t>(10</w:t>
            </w:r>
            <w:r>
              <w:rPr>
                <w:rFonts w:ascii="仿宋_GB2312" w:eastAsia="仿宋_GB2312" w:hAnsi="仿宋_GB2312" w:cs="仿宋_GB2312" w:hint="eastAsia"/>
                <w:color w:val="000000"/>
                <w:kern w:val="0"/>
                <w:sz w:val="28"/>
                <w:szCs w:val="28"/>
                <w:lang w:bidi="ar"/>
              </w:rPr>
              <w:t>分）</w:t>
            </w:r>
          </w:p>
          <w:p w:rsidR="003D1E29" w:rsidRDefault="00D54677">
            <w:pPr>
              <w:widowControl/>
              <w:numPr>
                <w:ilvl w:val="0"/>
                <w:numId w:val="2"/>
              </w:numPr>
              <w:textAlignment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对本班学习现状有清楚的认识，能分析班级学风存在的问题（</w:t>
            </w:r>
            <w:r>
              <w:rPr>
                <w:rFonts w:ascii="仿宋_GB2312" w:eastAsia="仿宋_GB2312" w:hAnsi="仿宋_GB2312" w:cs="仿宋_GB2312" w:hint="eastAsia"/>
                <w:color w:val="000000"/>
                <w:kern w:val="0"/>
                <w:sz w:val="28"/>
                <w:szCs w:val="28"/>
                <w:lang w:bidi="ar"/>
              </w:rPr>
              <w:t>16</w:t>
            </w:r>
            <w:r>
              <w:rPr>
                <w:rFonts w:ascii="仿宋_GB2312" w:eastAsia="仿宋_GB2312" w:hAnsi="仿宋_GB2312" w:cs="仿宋_GB2312" w:hint="eastAsia"/>
                <w:color w:val="000000"/>
                <w:kern w:val="0"/>
                <w:sz w:val="28"/>
                <w:szCs w:val="28"/>
                <w:lang w:bidi="ar"/>
              </w:rPr>
              <w:t>级着重于体现有对班里同学关于学风立项的意见调研并作分析</w:t>
            </w:r>
            <w:r>
              <w:rPr>
                <w:rFonts w:ascii="仿宋_GB2312" w:eastAsia="仿宋_GB2312" w:hAnsi="仿宋_GB2312" w:cs="仿宋_GB2312" w:hint="eastAsia"/>
                <w:color w:val="000000"/>
                <w:kern w:val="0"/>
                <w:sz w:val="28"/>
                <w:szCs w:val="28"/>
                <w:lang w:bidi="ar"/>
              </w:rPr>
              <w:t>)</w:t>
            </w:r>
            <w:r>
              <w:rPr>
                <w:rFonts w:ascii="仿宋_GB2312" w:eastAsia="仿宋_GB2312" w:hAnsi="仿宋_GB2312" w:cs="仿宋_GB2312" w:hint="eastAsia"/>
                <w:color w:val="000000"/>
                <w:kern w:val="0"/>
                <w:sz w:val="28"/>
                <w:szCs w:val="28"/>
                <w:lang w:bidi="ar"/>
              </w:rPr>
              <w:t>（</w:t>
            </w:r>
            <w:r>
              <w:rPr>
                <w:rFonts w:ascii="仿宋_GB2312" w:eastAsia="仿宋_GB2312" w:hAnsi="仿宋_GB2312" w:cs="仿宋_GB2312" w:hint="eastAsia"/>
                <w:color w:val="000000"/>
                <w:kern w:val="0"/>
                <w:sz w:val="28"/>
                <w:szCs w:val="28"/>
                <w:lang w:bidi="ar"/>
              </w:rPr>
              <w:t>20</w:t>
            </w:r>
            <w:r>
              <w:rPr>
                <w:rFonts w:ascii="仿宋_GB2312" w:eastAsia="仿宋_GB2312" w:hAnsi="仿宋_GB2312" w:cs="仿宋_GB2312" w:hint="eastAsia"/>
                <w:color w:val="000000"/>
                <w:kern w:val="0"/>
                <w:sz w:val="28"/>
                <w:szCs w:val="28"/>
                <w:lang w:bidi="ar"/>
              </w:rPr>
              <w:t>分）</w:t>
            </w:r>
          </w:p>
          <w:p w:rsidR="003D1E29" w:rsidRDefault="00D54677">
            <w:pPr>
              <w:widowControl/>
              <w:textAlignment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5</w:t>
            </w:r>
            <w:r>
              <w:rPr>
                <w:rFonts w:ascii="仿宋_GB2312" w:eastAsia="仿宋_GB2312" w:hAnsi="仿宋_GB2312" w:cs="仿宋_GB2312" w:hint="eastAsia"/>
                <w:color w:val="000000"/>
                <w:kern w:val="0"/>
                <w:sz w:val="28"/>
                <w:szCs w:val="28"/>
                <w:lang w:bidi="ar"/>
              </w:rPr>
              <w:t>、明确班级学风建设要达到的预期目标和活动目的，并仔细思考活动中可能出现的相关问题以及相应的解决方案。（</w:t>
            </w:r>
            <w:r>
              <w:rPr>
                <w:rFonts w:ascii="仿宋_GB2312" w:eastAsia="仿宋_GB2312" w:hAnsi="仿宋_GB2312" w:cs="仿宋_GB2312" w:hint="eastAsia"/>
                <w:color w:val="000000"/>
                <w:kern w:val="0"/>
                <w:sz w:val="28"/>
                <w:szCs w:val="28"/>
                <w:lang w:bidi="ar"/>
              </w:rPr>
              <w:t>20</w:t>
            </w:r>
            <w:r>
              <w:rPr>
                <w:rFonts w:ascii="仿宋_GB2312" w:eastAsia="仿宋_GB2312" w:hAnsi="仿宋_GB2312" w:cs="仿宋_GB2312" w:hint="eastAsia"/>
                <w:color w:val="000000"/>
                <w:kern w:val="0"/>
                <w:sz w:val="28"/>
                <w:szCs w:val="28"/>
                <w:lang w:bidi="ar"/>
              </w:rPr>
              <w:t>分）</w:t>
            </w:r>
          </w:p>
        </w:tc>
      </w:tr>
    </w:tbl>
    <w:p w:rsidR="003D1E29" w:rsidRDefault="00D54677">
      <w:pPr>
        <w:widowControl/>
        <w:spacing w:line="300" w:lineRule="exact"/>
        <w:textAlignment w:val="center"/>
        <w:rPr>
          <w:rFonts w:ascii="仿宋" w:eastAsia="仿宋" w:hAnsi="仿宋" w:cs="仿宋"/>
          <w:b/>
          <w:color w:val="000000"/>
          <w:sz w:val="28"/>
          <w:szCs w:val="28"/>
        </w:rPr>
      </w:pPr>
      <w:r>
        <w:rPr>
          <w:rFonts w:ascii="仿宋" w:eastAsia="仿宋" w:hAnsi="仿宋" w:cs="仿宋" w:hint="eastAsia"/>
          <w:b/>
          <w:color w:val="000000"/>
          <w:sz w:val="28"/>
          <w:szCs w:val="28"/>
        </w:rPr>
        <w:t>附件一：</w:t>
      </w:r>
    </w:p>
    <w:p w:rsidR="003D1E29" w:rsidRPr="00D54677" w:rsidRDefault="00D54677">
      <w:pPr>
        <w:widowControl/>
        <w:jc w:val="center"/>
        <w:textAlignment w:val="center"/>
        <w:rPr>
          <w:rFonts w:asciiTheme="minorEastAsia" w:hAnsiTheme="minorEastAsia" w:cs="仿宋"/>
          <w:b/>
          <w:color w:val="000000"/>
          <w:sz w:val="24"/>
          <w:szCs w:val="24"/>
        </w:rPr>
      </w:pPr>
      <w:r w:rsidRPr="00D54677">
        <w:rPr>
          <w:rFonts w:asciiTheme="minorEastAsia" w:hAnsiTheme="minorEastAsia" w:cs="仿宋" w:hint="eastAsia"/>
          <w:b/>
          <w:color w:val="000000"/>
          <w:sz w:val="44"/>
          <w:szCs w:val="44"/>
        </w:rPr>
        <w:t>材料学院学风立项策划书评</w:t>
      </w:r>
      <w:r w:rsidRPr="00D54677">
        <w:rPr>
          <w:rFonts w:asciiTheme="minorEastAsia" w:hAnsiTheme="minorEastAsia" w:cs="仿宋" w:hint="eastAsia"/>
          <w:b/>
          <w:color w:val="000000"/>
          <w:sz w:val="44"/>
          <w:szCs w:val="44"/>
        </w:rPr>
        <w:t>分细则</w:t>
      </w:r>
    </w:p>
    <w:p w:rsidR="003D1E29" w:rsidRDefault="00D54677">
      <w:pPr>
        <w:rPr>
          <w:rFonts w:ascii="仿宋" w:eastAsia="仿宋" w:hAnsi="仿宋" w:cs="仿宋"/>
          <w:b/>
          <w:bCs/>
          <w:color w:val="000000"/>
          <w:sz w:val="24"/>
          <w:szCs w:val="24"/>
        </w:rPr>
      </w:pPr>
      <w:r>
        <w:rPr>
          <w:rFonts w:hint="eastAsia"/>
          <w:b/>
          <w:bCs/>
        </w:rPr>
        <w:t>注：按</w:t>
      </w:r>
      <w:r>
        <w:rPr>
          <w:rFonts w:hint="eastAsia"/>
          <w:b/>
          <w:bCs/>
        </w:rPr>
        <w:t xml:space="preserve"> </w:t>
      </w:r>
      <w:r>
        <w:rPr>
          <w:rFonts w:hint="eastAsia"/>
          <w:b/>
          <w:bCs/>
        </w:rPr>
        <w:t>策划书分数</w:t>
      </w:r>
      <w:r>
        <w:rPr>
          <w:rFonts w:hint="eastAsia"/>
          <w:b/>
          <w:bCs/>
        </w:rPr>
        <w:t xml:space="preserve">*10% </w:t>
      </w:r>
      <w:r>
        <w:rPr>
          <w:rFonts w:hint="eastAsia"/>
          <w:b/>
          <w:bCs/>
        </w:rPr>
        <w:t>来折算</w:t>
      </w:r>
      <w:proofErr w:type="gramStart"/>
      <w:r>
        <w:rPr>
          <w:rFonts w:hint="eastAsia"/>
          <w:b/>
          <w:bCs/>
        </w:rPr>
        <w:t>入总体</w:t>
      </w:r>
      <w:proofErr w:type="gramEnd"/>
      <w:r>
        <w:rPr>
          <w:rFonts w:hint="eastAsia"/>
          <w:b/>
          <w:bCs/>
        </w:rPr>
        <w:t>成绩中。策划总成绩在</w:t>
      </w:r>
      <w:r>
        <w:rPr>
          <w:rFonts w:hint="eastAsia"/>
          <w:b/>
          <w:bCs/>
        </w:rPr>
        <w:t>60</w:t>
      </w:r>
      <w:r>
        <w:rPr>
          <w:rFonts w:hint="eastAsia"/>
          <w:b/>
          <w:bCs/>
        </w:rPr>
        <w:t>分以上且答辩分数在</w:t>
      </w:r>
      <w:r>
        <w:rPr>
          <w:rFonts w:hint="eastAsia"/>
          <w:b/>
          <w:bCs/>
        </w:rPr>
        <w:t>30</w:t>
      </w:r>
      <w:r>
        <w:rPr>
          <w:rFonts w:hint="eastAsia"/>
          <w:b/>
          <w:bCs/>
        </w:rPr>
        <w:t>分以上即通过立项，未立项成功的班级需重新书写一份策划交给学院。</w:t>
      </w:r>
    </w:p>
    <w:p w:rsidR="003D1E29" w:rsidRDefault="003D1E29"/>
    <w:sectPr w:rsidR="003D1E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FA3A7F"/>
    <w:multiLevelType w:val="singleLevel"/>
    <w:tmpl w:val="57FA3A7F"/>
    <w:lvl w:ilvl="0">
      <w:start w:val="1"/>
      <w:numFmt w:val="decimal"/>
      <w:suff w:val="nothing"/>
      <w:lvlText w:val="%1、"/>
      <w:lvlJc w:val="left"/>
    </w:lvl>
  </w:abstractNum>
  <w:abstractNum w:abstractNumId="1">
    <w:nsid w:val="57FA3C6B"/>
    <w:multiLevelType w:val="singleLevel"/>
    <w:tmpl w:val="57FA3C6B"/>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A66E9"/>
    <w:rsid w:val="003D1E29"/>
    <w:rsid w:val="00D54677"/>
    <w:rsid w:val="13B57B7C"/>
    <w:rsid w:val="439A2E13"/>
    <w:rsid w:val="6FFA6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81</Words>
  <Characters>468</Characters>
  <Application>Microsoft Office Word</Application>
  <DocSecurity>0</DocSecurity>
  <Lines>3</Lines>
  <Paragraphs>1</Paragraphs>
  <ScaleCrop>false</ScaleCrop>
  <Company>Microsoft</Company>
  <LinksUpToDate>false</LinksUpToDate>
  <CharactersWithSpaces>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chengxi</dc:creator>
  <cp:lastModifiedBy>asus</cp:lastModifiedBy>
  <cp:revision>2</cp:revision>
  <dcterms:created xsi:type="dcterms:W3CDTF">2016-10-16T15:27:00Z</dcterms:created>
  <dcterms:modified xsi:type="dcterms:W3CDTF">2016-10-17T12:52:00Z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